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alibri" w:cs="Calibri" w:eastAsia="Calibri" w:hAnsi="Calibri"/>
          <w:b/>
          <w:bCs/>
          <w:color w:val="C4552D"/>
          <w:spacing w:val="40"/>
          <w:sz w:val="17"/>
          <w:szCs w:val="17"/>
        </w:rPr>
        <w:t xml:space="preserve">PROPUESTA DE MODERNIZACIÓN DIGITAL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13294B"/>
          <w:sz w:val="44"/>
          <w:szCs w:val="44"/>
        </w:rPr>
        <w:t xml:space="preserve">Migliorisi, preparada para la próxima generación de búsquedas</w:t>
      </w:r>
    </w:p>
    <w:p>
      <w:pPr>
        <w:spacing w:after="160" w:line="264"/>
      </w:pPr>
      <w:r>
        <w:rPr>
          <w:rFonts w:ascii="Calibri" w:cs="Calibri" w:eastAsia="Calibri" w:hAnsi="Calibri"/>
          <w:color w:val="5B6478"/>
          <w:sz w:val="22"/>
          <w:szCs w:val="22"/>
        </w:rPr>
        <w:t xml:space="preserve">Plataforma inmobiliaria propia, portal de Prensa modernizado y una estrategia SEO + GEO que convierte 70 años de trayectoria en visibilidad, consultas y operaciones.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4506"/>
        <w:gridCol w:w="2700"/>
      </w:tblGrid>
      <w:tr>
        <w:tc>
          <w:tcPr>
            <w:tcW w:type="dxa" w:w="2700"/>
            <w:tcBorders>
              <w:top w:val="single" w:color="13294B" w:sz="12"/>
              <w:left w:val="none" w:color="FFFFFF" w:sz="0"/>
              <w:bottom w:val="single" w:color="DDD8C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6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C4552D"/>
                <w:sz w:val="14"/>
                <w:szCs w:val="14"/>
              </w:rPr>
              <w:t xml:space="preserve">PREPARADO PARA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3294B"/>
                <w:sz w:val="19"/>
                <w:szCs w:val="19"/>
              </w:rPr>
              <w:t xml:space="preserve">Migliorisi Propiedades</w:t>
            </w:r>
          </w:p>
        </w:tc>
        <w:tc>
          <w:tcPr>
            <w:tcW w:type="dxa" w:w="4506"/>
            <w:tcBorders>
              <w:top w:val="single" w:color="13294B" w:sz="12"/>
              <w:left w:val="none" w:color="FFFFFF" w:sz="0"/>
              <w:bottom w:val="single" w:color="DDD8C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6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C4552D"/>
                <w:sz w:val="14"/>
                <w:szCs w:val="14"/>
              </w:rPr>
              <w:t xml:space="preserve">SITIOS ANALIZADOS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3294B"/>
                <w:sz w:val="19"/>
                <w:szCs w:val="19"/>
              </w:rPr>
              <w:t xml:space="preserve">migliorisi.com.ar · prensa.migliorisi.com.ar</w:t>
            </w:r>
          </w:p>
        </w:tc>
        <w:tc>
          <w:tcPr>
            <w:tcW w:type="dxa" w:w="2700"/>
            <w:tcBorders>
              <w:top w:val="single" w:color="13294B" w:sz="12"/>
              <w:left w:val="none" w:color="FFFFFF" w:sz="0"/>
              <w:bottom w:val="single" w:color="DDD8C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6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C4552D"/>
                <w:sz w:val="14"/>
                <w:szCs w:val="14"/>
              </w:rPr>
              <w:t xml:space="preserve">FECHA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3294B"/>
                <w:sz w:val="19"/>
                <w:szCs w:val="19"/>
              </w:rPr>
              <w:t xml:space="preserve">Septiembre 2026</w:t>
            </w:r>
          </w:p>
        </w:tc>
      </w:tr>
    </w:tbl>
    <w:p>
      <w:pPr>
        <w:spacing w:after="20" w:before="260"/>
      </w:pPr>
      <w:r>
        <w:rPr>
          <w:rFonts w:ascii="Calibri" w:cs="Calibri" w:eastAsia="Calibri" w:hAnsi="Calibri"/>
          <w:b/>
          <w:bCs/>
          <w:color w:val="C4552D"/>
          <w:spacing w:val="30"/>
          <w:sz w:val="16"/>
          <w:szCs w:val="16"/>
        </w:rPr>
        <w:t xml:space="preserve">01 · RESUMEN EJECUTIVO</w:t>
      </w:r>
    </w:p>
    <w:p>
      <w:pPr>
        <w:pStyle w:val="Heading1"/>
        <w:spacing w:after="100"/>
      </w:pPr>
      <w:r>
        <w:rPr>
          <w:rFonts w:ascii="Georgia" w:cs="Georgia" w:eastAsia="Georgia" w:hAnsi="Georgia"/>
        </w:rPr>
        <w:t xml:space="preserve">Una marca con 70 años de historia merece una plataforma a su altura</w:t>
      </w:r>
    </w:p>
    <w:p>
      <w:pPr>
        <w:spacing w:after="100" w:line="264"/>
      </w:pPr>
      <w:r>
        <w:rPr>
          <w:rFonts w:ascii="Calibri" w:cs="Calibri" w:eastAsia="Calibri" w:hAnsi="Calibri"/>
          <w:sz w:val="20"/>
          <w:szCs w:val="20"/>
        </w:rPr>
        <w:t xml:space="preserve">Migliorisi tiene algo que ningún portal puede comprar: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trayectoria desde 1956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cinco oficinas</w:t>
      </w:r>
      <w:r>
        <w:rPr>
          <w:rFonts w:ascii="Calibri" w:cs="Calibri" w:eastAsia="Calibri" w:hAnsi="Calibri"/>
          <w:sz w:val="20"/>
          <w:szCs w:val="20"/>
        </w:rPr>
        <w:t xml:space="preserve"> y un conocimiento profundo de Villa Crespo, Almagro, Parque Centenario, Palermo y Caballito. Hoy ese capital no se refleja por completo en su presencia digital.</w:t>
      </w:r>
    </w:p>
    <w:p>
      <w:pPr>
        <w:spacing w:after="60" w:line="264"/>
      </w:pPr>
      <w:r>
        <w:rPr>
          <w:rFonts w:ascii="Calibri" w:cs="Calibri" w:eastAsia="Calibri" w:hAnsi="Calibri"/>
          <w:sz w:val="20"/>
          <w:szCs w:val="20"/>
        </w:rPr>
        <w:t xml:space="preserve">Además, la forma de buscar propiedades está cambiando: cada vez más consultas se resuelven en asistentes de inteligencia artificial (ChatGPT, Gemini, las respuestas con IA de Google), que recomiendan inmobiliarias a partir de información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estructurada y confiable</w:t>
      </w:r>
      <w:r>
        <w:rPr>
          <w:rFonts w:ascii="Calibri" w:cs="Calibri" w:eastAsia="Calibri" w:hAnsi="Calibri"/>
          <w:sz w:val="20"/>
          <w:szCs w:val="20"/>
        </w:rPr>
        <w:t xml:space="preserve">. Optimizar para ellos es lo que llamamos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GEO</w:t>
      </w:r>
      <w:r>
        <w:rPr>
          <w:rFonts w:ascii="Calibri" w:cs="Calibri" w:eastAsia="Calibri" w:hAnsi="Calibri"/>
          <w:sz w:val="20"/>
          <w:szCs w:val="20"/>
        </w:rPr>
        <w:t xml:space="preserve">. Esta propuesta plantea un camino en etapas para que Migliorisi pase de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depender de plataformas de terceros</w:t>
      </w:r>
      <w:r>
        <w:rPr>
          <w:rFonts w:ascii="Calibri" w:cs="Calibri" w:eastAsia="Calibri" w:hAnsi="Calibri"/>
          <w:sz w:val="20"/>
          <w:szCs w:val="20"/>
        </w:rPr>
        <w:t xml:space="preserve">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ser dueña de un activo digital propio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spacing w:after="20" w:before="220"/>
      </w:pPr>
      <w:r>
        <w:rPr>
          <w:rFonts w:ascii="Calibri" w:cs="Calibri" w:eastAsia="Calibri" w:hAnsi="Calibri"/>
          <w:b/>
          <w:bCs/>
          <w:color w:val="C4552D"/>
          <w:spacing w:val="30"/>
          <w:sz w:val="16"/>
          <w:szCs w:val="16"/>
        </w:rPr>
        <w:t xml:space="preserve">02 · ANÁLISIS DE LA SITUACIÓN ACTUAL</w:t>
      </w:r>
    </w:p>
    <w:p>
      <w:pPr>
        <w:pStyle w:val="Heading1"/>
        <w:spacing w:after="100"/>
      </w:pPr>
      <w:r>
        <w:rPr>
          <w:rFonts w:ascii="Georgia" w:cs="Georgia" w:eastAsia="Georgia" w:hAnsi="Georgia"/>
        </w:rPr>
        <w:t xml:space="preserve">Qué encontramos</w:t>
      </w:r>
    </w:p>
    <w:p>
      <w:pPr>
        <w:spacing w:after="100" w:line="264"/>
      </w:pPr>
      <w:r>
        <w:rPr>
          <w:rFonts w:ascii="Calibri" w:cs="Calibri" w:eastAsia="Calibri" w:hAnsi="Calibri"/>
          <w:sz w:val="20"/>
          <w:szCs w:val="20"/>
        </w:rPr>
        <w:t xml:space="preserve">Se analizaron los sitios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https://migliorisi.com.ar/</w:t>
      </w:r>
      <w:r>
        <w:rPr>
          <w:rFonts w:ascii="Calibri" w:cs="Calibri" w:eastAsia="Calibri" w:hAnsi="Calibri"/>
          <w:sz w:val="20"/>
          <w:szCs w:val="20"/>
        </w:rPr>
        <w:t xml:space="preserve"> y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https://prensa.migliorisi.com.ar/</w:t>
      </w:r>
      <w:r>
        <w:rPr>
          <w:rFonts w:ascii="Calibri" w:cs="Calibri" w:eastAsia="Calibri" w:hAnsi="Calibri"/>
          <w:sz w:val="20"/>
          <w:szCs w:val="20"/>
        </w:rPr>
        <w:t xml:space="preserve">, su presencia en buscadores y en portales inmobiliarios.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900"/>
        <w:gridCol w:w="3506"/>
      </w:tblGrid>
      <w:tr>
        <w:trPr>
          <w:tblHeader/>
        </w:trPr>
        <w:tc>
          <w:tcPr>
            <w:tcW w:type="dxa" w:w="2500"/>
            <w:tcBorders>
              <w:top w:val="single" w:color="13294B" w:sz="4"/>
              <w:left w:val="single" w:color="13294B" w:sz="4"/>
              <w:bottom w:val="single" w:color="13294B" w:sz="4"/>
              <w:right w:val="single" w:color="13294B" w:sz="4"/>
            </w:tcBorders>
            <w:shd w:fill="13294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Hallazgo</w:t>
            </w:r>
          </w:p>
        </w:tc>
        <w:tc>
          <w:tcPr>
            <w:tcW w:type="dxa" w:w="3900"/>
            <w:tcBorders>
              <w:top w:val="single" w:color="13294B" w:sz="4"/>
              <w:left w:val="single" w:color="13294B" w:sz="4"/>
              <w:bottom w:val="single" w:color="13294B" w:sz="4"/>
              <w:right w:val="single" w:color="13294B" w:sz="4"/>
            </w:tcBorders>
            <w:shd w:fill="13294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3506"/>
            <w:tcBorders>
              <w:top w:val="single" w:color="13294B" w:sz="4"/>
              <w:left w:val="single" w:color="13294B" w:sz="4"/>
              <w:bottom w:val="single" w:color="13294B" w:sz="4"/>
              <w:right w:val="single" w:color="13294B" w:sz="4"/>
            </w:tcBorders>
            <w:shd w:fill="13294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Cómo lo resuelve la propuesta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DD8CD" w:sz="4"/>
              <w:left w:val="single" w:color="DDD8CD" w:sz="4"/>
              <w:bottom w:val="single" w:color="DDD8CD" w:sz="4"/>
              <w:right w:val="single" w:color="DDD8CD" w:sz="4"/>
            </w:tcBorders>
            <w:shd w:fill="FAF8F4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3294B"/>
                <w:sz w:val="17"/>
                <w:szCs w:val="17"/>
              </w:rPr>
              <w:t xml:space="preserve">Títulos y metadata genéricos</w:t>
            </w:r>
          </w:p>
        </w:tc>
        <w:tc>
          <w:tcPr>
            <w:tcW w:type="dxa" w:w="3900"/>
            <w:tcBorders>
              <w:top w:val="single" w:color="DDD8CD" w:sz="4"/>
              <w:left w:val="single" w:color="DDD8CD" w:sz="4"/>
              <w:bottom w:val="single" w:color="DDD8CD" w:sz="4"/>
              <w:right w:val="single" w:color="DDD8CD" w:sz="4"/>
            </w:tcBorders>
            <w:shd w:fill="FAF8F4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Páginas como “Búsqueda de propiedades” no aprovechan barrio, operación ni tipología.</w:t>
            </w:r>
          </w:p>
        </w:tc>
        <w:tc>
          <w:tcPr>
            <w:tcW w:type="dxa" w:w="3506"/>
            <w:tcBorders>
              <w:top w:val="single" w:color="DDD8CD" w:sz="4"/>
              <w:left w:val="single" w:color="DDD8CD" w:sz="4"/>
              <w:bottom w:val="single" w:color="DDD8CD" w:sz="4"/>
              <w:right w:val="single" w:color="DDD8CD" w:sz="4"/>
            </w:tcBorders>
            <w:shd w:fill="FAF8F4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Etapa 1: URLs y metadata dinámicas.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DD8CD" w:sz="4"/>
              <w:left w:val="single" w:color="DDD8CD" w:sz="4"/>
              <w:bottom w:val="single" w:color="DDD8CD" w:sz="4"/>
              <w:right w:val="single" w:color="DDD8CD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3294B"/>
                <w:sz w:val="17"/>
                <w:szCs w:val="17"/>
              </w:rPr>
              <w:t xml:space="preserve">Sin páginas por barrio</w:t>
            </w:r>
          </w:p>
        </w:tc>
        <w:tc>
          <w:tcPr>
            <w:tcW w:type="dxa" w:w="3900"/>
            <w:tcBorders>
              <w:top w:val="single" w:color="DDD8CD" w:sz="4"/>
              <w:left w:val="single" w:color="DDD8CD" w:sz="4"/>
              <w:bottom w:val="single" w:color="DDD8CD" w:sz="4"/>
              <w:right w:val="single" w:color="DDD8CD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Se pierden búsquedas como “departamentos en venta en Villa Crespo”.</w:t>
            </w:r>
          </w:p>
        </w:tc>
        <w:tc>
          <w:tcPr>
            <w:tcW w:type="dxa" w:w="3506"/>
            <w:tcBorders>
              <w:top w:val="single" w:color="DDD8CD" w:sz="4"/>
              <w:left w:val="single" w:color="DDD8CD" w:sz="4"/>
              <w:bottom w:val="single" w:color="DDD8CD" w:sz="4"/>
              <w:right w:val="single" w:color="DDD8CD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Etapa 1: barrios y zonas con páginas propias.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DD8CD" w:sz="4"/>
              <w:left w:val="single" w:color="DDD8CD" w:sz="4"/>
              <w:bottom w:val="single" w:color="DDD8CD" w:sz="4"/>
              <w:right w:val="single" w:color="DDD8CD" w:sz="4"/>
            </w:tcBorders>
            <w:shd w:fill="FAF8F4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3294B"/>
                <w:sz w:val="17"/>
                <w:szCs w:val="17"/>
              </w:rPr>
              <w:t xml:space="preserve">Dependencia de portales</w:t>
            </w:r>
          </w:p>
        </w:tc>
        <w:tc>
          <w:tcPr>
            <w:tcW w:type="dxa" w:w="3900"/>
            <w:tcBorders>
              <w:top w:val="single" w:color="DDD8CD" w:sz="4"/>
              <w:left w:val="single" w:color="DDD8CD" w:sz="4"/>
              <w:bottom w:val="single" w:color="DDD8CD" w:sz="4"/>
              <w:right w:val="single" w:color="DDD8CD" w:sz="4"/>
            </w:tcBorders>
            <w:shd w:fill="FAF8F4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Más de 900 avisos se consultan desde terceros, junto a la competencia.</w:t>
            </w:r>
          </w:p>
        </w:tc>
        <w:tc>
          <w:tcPr>
            <w:tcW w:type="dxa" w:w="3506"/>
            <w:tcBorders>
              <w:top w:val="single" w:color="DDD8CD" w:sz="4"/>
              <w:left w:val="single" w:color="DDD8CD" w:sz="4"/>
              <w:bottom w:val="single" w:color="DDD8CD" w:sz="4"/>
              <w:right w:val="single" w:color="DDD8CD" w:sz="4"/>
            </w:tcBorders>
            <w:shd w:fill="FAF8F4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Todas: canal propio de consultas.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DD8CD" w:sz="4"/>
              <w:left w:val="single" w:color="DDD8CD" w:sz="4"/>
              <w:bottom w:val="single" w:color="DDD8CD" w:sz="4"/>
              <w:right w:val="single" w:color="DDD8CD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3294B"/>
                <w:sz w:val="17"/>
                <w:szCs w:val="17"/>
              </w:rPr>
              <w:t xml:space="preserve">Prensa en WordPress y subdominio</w:t>
            </w:r>
          </w:p>
        </w:tc>
        <w:tc>
          <w:tcPr>
            <w:tcW w:type="dxa" w:w="3900"/>
            <w:tcBorders>
              <w:top w:val="single" w:color="DDD8CD" w:sz="4"/>
              <w:left w:val="single" w:color="DDD8CD" w:sz="4"/>
              <w:bottom w:val="single" w:color="DDD8CD" w:sz="4"/>
              <w:right w:val="single" w:color="DDD8CD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La autoridad se divide; etiquetas indexadas compiten con las notas; URLs inconsistentes.</w:t>
            </w:r>
          </w:p>
        </w:tc>
        <w:tc>
          <w:tcPr>
            <w:tcW w:type="dxa" w:w="3506"/>
            <w:tcBorders>
              <w:top w:val="single" w:color="DDD8CD" w:sz="4"/>
              <w:left w:val="single" w:color="DDD8CD" w:sz="4"/>
              <w:bottom w:val="single" w:color="DDD8CD" w:sz="4"/>
              <w:right w:val="single" w:color="DDD8CD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Etapa 2: migración ordenada con 301.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DD8CD" w:sz="4"/>
              <w:left w:val="single" w:color="DDD8CD" w:sz="4"/>
              <w:bottom w:val="single" w:color="DDD8CD" w:sz="4"/>
              <w:right w:val="single" w:color="DDD8CD" w:sz="4"/>
            </w:tcBorders>
            <w:shd w:fill="FAF8F4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3294B"/>
                <w:sz w:val="17"/>
                <w:szCs w:val="17"/>
              </w:rPr>
              <w:t xml:space="preserve">Contenido desconectado</w:t>
            </w:r>
          </w:p>
        </w:tc>
        <w:tc>
          <w:tcPr>
            <w:tcW w:type="dxa" w:w="3900"/>
            <w:tcBorders>
              <w:top w:val="single" w:color="DDD8CD" w:sz="4"/>
              <w:left w:val="single" w:color="DDD8CD" w:sz="4"/>
              <w:bottom w:val="single" w:color="DDD8CD" w:sz="4"/>
              <w:right w:val="single" w:color="DDD8CD" w:sz="4"/>
            </w:tcBorders>
            <w:shd w:fill="FAF8F4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Las notas no llevan a propiedades ni barrios.</w:t>
            </w:r>
          </w:p>
        </w:tc>
        <w:tc>
          <w:tcPr>
            <w:tcW w:type="dxa" w:w="3506"/>
            <w:tcBorders>
              <w:top w:val="single" w:color="DDD8CD" w:sz="4"/>
              <w:left w:val="single" w:color="DDD8CD" w:sz="4"/>
              <w:bottom w:val="single" w:color="DDD8CD" w:sz="4"/>
              <w:right w:val="single" w:color="DDD8CD" w:sz="4"/>
            </w:tcBorders>
            <w:shd w:fill="FAF8F4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Etapa 3: integración SEO + GEO.</w:t>
            </w:r>
          </w:p>
        </w:tc>
      </w:tr>
    </w:tbl>
    <w:p>
      <w:pPr>
        <w:spacing w:after="0" w:line="264"/>
      </w:pPr>
      <w:r>
        <w:rPr>
          <w:rFonts w:ascii="Calibri" w:cs="Calibri" w:eastAsia="Calibri" w:hAnsi="Calibri"/>
          <w:i/>
          <w:iCs/>
          <w:color w:val="5B6478"/>
          <w:sz w:val="15"/>
          <w:szCs w:val="15"/>
        </w:rPr>
        <w:t xml:space="preserve">Relevamiento preliminar; la auditoría técnica completa forma parte de la Etapa 1.</w:t>
      </w:r>
    </w:p>
    <w:p>
      <w:pPr>
        <w:spacing w:after="0"/>
      </w:pPr>
      <w:r>
        <w:br w:type="page"/>
      </w:r>
    </w:p>
    <w:p>
      <w:pPr>
        <w:spacing w:after="20" w:before="0"/>
      </w:pPr>
      <w:r>
        <w:rPr>
          <w:rFonts w:ascii="Calibri" w:cs="Calibri" w:eastAsia="Calibri" w:hAnsi="Calibri"/>
          <w:b/>
          <w:bCs/>
          <w:color w:val="C4552D"/>
          <w:spacing w:val="30"/>
          <w:sz w:val="16"/>
          <w:szCs w:val="16"/>
        </w:rPr>
        <w:t xml:space="preserve">03 · PLAN DE TRABAJO</w:t>
      </w:r>
    </w:p>
    <w:p>
      <w:pPr>
        <w:pStyle w:val="Heading1"/>
        <w:spacing w:after="100"/>
      </w:pPr>
      <w:r>
        <w:rPr>
          <w:rFonts w:ascii="Georgia" w:cs="Georgia" w:eastAsia="Georgia" w:hAnsi="Georgia"/>
        </w:rPr>
        <w:t xml:space="preserve">Cuatro etapas, cada una con valor propio</w:t>
      </w:r>
    </w:p>
    <w:p>
      <w:pPr>
        <w:spacing w:after="140" w:line="264"/>
      </w:pPr>
      <w:r>
        <w:rPr>
          <w:rFonts w:ascii="Calibri" w:cs="Calibri" w:eastAsia="Calibri" w:hAnsi="Calibri"/>
          <w:sz w:val="20"/>
          <w:szCs w:val="20"/>
        </w:rPr>
        <w:t xml:space="preserve">Cada etapa tiene un alcance definido, entrega resultados concretos y puede contratarse de forma independiente, según las prioridades de Migliorisi.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206"/>
      </w:tblGrid>
      <w:tr>
        <w:trPr>
          <w:cantSplit/>
        </w:trPr>
        <w:tc>
          <w:tcPr>
            <w:tcW w:type="dxa" w:w="700"/>
            <w:tcBorders>
              <w:top w:val="single" w:color="13294B" w:sz="4"/>
              <w:left w:val="single" w:color="13294B" w:sz="4"/>
              <w:bottom w:val="single" w:color="13294B" w:sz="4"/>
              <w:right w:val="single" w:color="13294B" w:sz="4"/>
            </w:tcBorders>
            <w:shd w:fill="13294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30"/>
                <w:szCs w:val="30"/>
              </w:rPr>
              <w:t xml:space="preserve">1</w:t>
            </w:r>
          </w:p>
        </w:tc>
        <w:tc>
          <w:tcPr>
            <w:tcW w:type="dxa" w:w="9206"/>
            <w:tcBorders>
              <w:top w:val="single" w:color="DDD8CD" w:sz="4"/>
              <w:left w:val="single" w:color="DDD8CD" w:sz="4"/>
              <w:bottom w:val="single" w:color="DDD8CD" w:sz="4"/>
              <w:right w:val="single" w:color="DDD8CD" w:sz="4"/>
            </w:tcBorders>
            <w:shd w:fill="F6F4E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Georgia" w:cs="Georgia" w:eastAsia="Georgia" w:hAnsi="Georgia"/>
                <w:b/>
                <w:bCs/>
                <w:color w:val="13294B"/>
                <w:sz w:val="23"/>
                <w:szCs w:val="23"/>
              </w:rPr>
              <w:t xml:space="preserve">Análisis, arquitectura y modernización de la plataforma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8"/>
                <w:sz w:val="17"/>
                <w:szCs w:val="17"/>
              </w:rPr>
              <w:t xml:space="preserve">Combina el análisis integral con el desarrollo del nuevo sitio principal sobre una arquitectura propia.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cantSplit/>
        </w:trPr>
        <w:tc>
          <w:tcPr>
            <w:tcW w:type="dxa" w:w="3302"/>
            <w:tcBorders>
              <w:top w:val="none" w:color="FFFFFF" w:sz="0"/>
              <w:left w:val="single" w:color="DDD8CD" w:sz="4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Análisis técnico y funcional de la plataforma actual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Auditoría SEO y GEO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Análisis de URLs, contenidos y estructura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Revisión de propiedades, barrios, operaciones y tipologías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Diseño de la arquitectura tecnológica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Desarrollo/migración hacia una arquitectura propia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Buscador y filtros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Fichas de propiedades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Estructuración de barrios y zonas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URLs y metadata dinámicas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Datos estructurados Schema.org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Breadcrumbs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single" w:color="DDD8CD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Optimización SEO desde código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Optimización GEO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Rendimiento y experiencia móvil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CTAs orientados a conversión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Migración de la información necesaria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Planificación de la integración con Prensa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DD8CD" w:sz="4"/>
              <w:left w:val="single" w:color="DDD8CD" w:sz="4"/>
              <w:bottom w:val="single" w:color="DDD8CD" w:sz="4"/>
              <w:right w:val="single" w:color="DDD8CD" w:sz="4"/>
            </w:tcBorders>
            <w:shd w:fill="EAF4EE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Objetivo: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transformar la plataforma principal sobre una arquitectura con mayor control técnico, preparada para SEO, GEO, rendimiento y evolución futura. 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Resultado: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cada combinación de barrio, operación y tipología se convierte en una página capaz de posicionarse, con consultas directas desde cada ficha.</w:t>
            </w:r>
          </w:p>
        </w:tc>
      </w:tr>
    </w:tbl>
    <w:p>
      <w:pPr>
        <w:spacing w:after="14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206"/>
      </w:tblGrid>
      <w:tr>
        <w:trPr>
          <w:cantSplit/>
        </w:trPr>
        <w:tc>
          <w:tcPr>
            <w:tcW w:type="dxa" w:w="700"/>
            <w:tcBorders>
              <w:top w:val="single" w:color="13294B" w:sz="4"/>
              <w:left w:val="single" w:color="13294B" w:sz="4"/>
              <w:bottom w:val="single" w:color="13294B" w:sz="4"/>
              <w:right w:val="single" w:color="13294B" w:sz="4"/>
            </w:tcBorders>
            <w:shd w:fill="13294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30"/>
                <w:szCs w:val="30"/>
              </w:rPr>
              <w:t xml:space="preserve">2</w:t>
            </w:r>
          </w:p>
        </w:tc>
        <w:tc>
          <w:tcPr>
            <w:tcW w:type="dxa" w:w="9206"/>
            <w:tcBorders>
              <w:top w:val="single" w:color="DDD8CD" w:sz="4"/>
              <w:left w:val="single" w:color="DDD8CD" w:sz="4"/>
              <w:bottom w:val="single" w:color="DDD8CD" w:sz="4"/>
              <w:right w:val="single" w:color="DDD8CD" w:sz="4"/>
            </w:tcBorders>
            <w:shd w:fill="F6F4E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Georgia" w:cs="Georgia" w:eastAsia="Georgia" w:hAnsi="Georgia"/>
                <w:b/>
                <w:bCs/>
                <w:color w:val="13294B"/>
                <w:sz w:val="23"/>
                <w:szCs w:val="23"/>
              </w:rPr>
              <w:t xml:space="preserve">Migración y modernización de Migliorisi Prensa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8"/>
                <w:sz w:val="17"/>
                <w:szCs w:val="17"/>
              </w:rPr>
              <w:t xml:space="preserve">El portal de Prensa funciona hoy sobre WordPress. Se migra a la misma arquitectura nativa del sitio principal, cuidando el posicionamiento ganado.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cantSplit/>
        </w:trPr>
        <w:tc>
          <w:tcPr>
            <w:tcW w:type="dxa" w:w="3302"/>
            <w:tcBorders>
              <w:top w:val="none" w:color="FFFFFF" w:sz="0"/>
              <w:left w:val="single" w:color="DDD8CD" w:sz="4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Relevamiento e inventario de contenidos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Análisis de URLs existentes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Identificación de contenido con valor SEO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Migración de artículos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Reorganización de categorías y etiquetas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Preservación de URLs relevantes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Redirecciones 301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Metadata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Schema.org para artículos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Autoría y entidades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single" w:color="DDD8CD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Enlazado interno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Optimización de indexación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Sitemap y canonicalización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Optimización mobile y performance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DD8CD" w:sz="4"/>
              <w:left w:val="single" w:color="DDD8CD" w:sz="4"/>
              <w:bottom w:val="single" w:color="DDD8CD" w:sz="4"/>
              <w:right w:val="single" w:color="DDD8CD" w:sz="4"/>
            </w:tcBorders>
            <w:shd w:fill="EAF4EE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Enfoque: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se preserva el posicionamiento y el contenido de valor existente, en lugar de trasladar todo de manera automática sin analizar su estructura.</w:t>
            </w:r>
          </w:p>
        </w:tc>
      </w:tr>
    </w:tbl>
    <w:p>
      <w:pPr>
        <w:spacing w:after="140"/>
      </w:pPr>
    </w:p>
    <w:p>
      <w:pPr>
        <w:spacing w:after="20" w:before="0"/>
      </w:pPr>
      <w:r>
        <w:rPr>
          <w:rFonts w:ascii="Calibri" w:cs="Calibri" w:eastAsia="Calibri" w:hAnsi="Calibri"/>
          <w:b/>
          <w:bCs/>
          <w:color w:val="C4552D"/>
          <w:spacing w:val="30"/>
          <w:sz w:val="16"/>
          <w:szCs w:val="16"/>
        </w:rPr>
        <w:t xml:space="preserve">¿POR QUÉ DEJAR WORDPRESS?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800"/>
        <w:gridCol w:w="3806"/>
      </w:tblGrid>
      <w:tr>
        <w:trPr>
          <w:tblHeader/>
        </w:trPr>
        <w:tc>
          <w:tcPr>
            <w:tcW w:type="dxa" w:w="2300"/>
            <w:tcBorders>
              <w:top w:val="single" w:color="13294B" w:sz="4"/>
              <w:left w:val="single" w:color="13294B" w:sz="4"/>
              <w:bottom w:val="single" w:color="13294B" w:sz="4"/>
              <w:right w:val="single" w:color="13294B" w:sz="4"/>
            </w:tcBorders>
            <w:shd w:fill="13294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Aspecto</w:t>
            </w:r>
          </w:p>
        </w:tc>
        <w:tc>
          <w:tcPr>
            <w:tcW w:type="dxa" w:w="3800"/>
            <w:tcBorders>
              <w:top w:val="single" w:color="13294B" w:sz="4"/>
              <w:left w:val="single" w:color="13294B" w:sz="4"/>
              <w:bottom w:val="single" w:color="13294B" w:sz="4"/>
              <w:right w:val="single" w:color="13294B" w:sz="4"/>
            </w:tcBorders>
            <w:shd w:fill="13294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WordPress actual</w:t>
            </w:r>
          </w:p>
        </w:tc>
        <w:tc>
          <w:tcPr>
            <w:tcW w:type="dxa" w:w="3806"/>
            <w:tcBorders>
              <w:top w:val="single" w:color="13294B" w:sz="4"/>
              <w:left w:val="single" w:color="13294B" w:sz="4"/>
              <w:bottom w:val="single" w:color="13294B" w:sz="4"/>
              <w:right w:val="single" w:color="13294B" w:sz="4"/>
            </w:tcBorders>
            <w:shd w:fill="13294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Plataforma nativa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DD8CD" w:sz="4"/>
              <w:left w:val="single" w:color="DDD8CD" w:sz="4"/>
              <w:bottom w:val="single" w:color="DDD8CD" w:sz="4"/>
              <w:right w:val="single" w:color="DDD8CD" w:sz="4"/>
            </w:tcBorders>
            <w:shd w:fill="FAF8F4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3294B"/>
                <w:sz w:val="17"/>
                <w:szCs w:val="17"/>
              </w:rPr>
              <w:t xml:space="preserve">Seguridad</w:t>
            </w:r>
          </w:p>
        </w:tc>
        <w:tc>
          <w:tcPr>
            <w:tcW w:type="dxa" w:w="3800"/>
            <w:tcBorders>
              <w:top w:val="single" w:color="DDD8CD" w:sz="4"/>
              <w:left w:val="single" w:color="DDD8CD" w:sz="4"/>
              <w:bottom w:val="single" w:color="DDD8CD" w:sz="4"/>
              <w:right w:val="single" w:color="DDD8CD" w:sz="4"/>
            </w:tcBorders>
            <w:shd w:fill="FAF8F4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Depende de plugins de terceros, blanco frecuente de ataques.</w:t>
            </w:r>
          </w:p>
        </w:tc>
        <w:tc>
          <w:tcPr>
            <w:tcW w:type="dxa" w:w="3806"/>
            <w:tcBorders>
              <w:top w:val="single" w:color="DDD8CD" w:sz="4"/>
              <w:left w:val="single" w:color="DDD8CD" w:sz="4"/>
              <w:bottom w:val="single" w:color="DDD8CD" w:sz="4"/>
              <w:right w:val="single" w:color="DDD8CD" w:sz="4"/>
            </w:tcBorders>
            <w:shd w:fill="FAF8F4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Superficie de ataque mínima, sin plugins.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DD8CD" w:sz="4"/>
              <w:left w:val="single" w:color="DDD8CD" w:sz="4"/>
              <w:bottom w:val="single" w:color="DDD8CD" w:sz="4"/>
              <w:right w:val="single" w:color="DDD8CD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3294B"/>
                <w:sz w:val="17"/>
                <w:szCs w:val="17"/>
              </w:rPr>
              <w:t xml:space="preserve">Velocidad</w:t>
            </w:r>
          </w:p>
        </w:tc>
        <w:tc>
          <w:tcPr>
            <w:tcW w:type="dxa" w:w="3800"/>
            <w:tcBorders>
              <w:top w:val="single" w:color="DDD8CD" w:sz="4"/>
              <w:left w:val="single" w:color="DDD8CD" w:sz="4"/>
              <w:bottom w:val="single" w:color="DDD8CD" w:sz="4"/>
              <w:right w:val="single" w:color="DDD8CD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Carga código que la página no usa.</w:t>
            </w:r>
          </w:p>
        </w:tc>
        <w:tc>
          <w:tcPr>
            <w:tcW w:type="dxa" w:w="3806"/>
            <w:tcBorders>
              <w:top w:val="single" w:color="DDD8CD" w:sz="4"/>
              <w:left w:val="single" w:color="DDD8CD" w:sz="4"/>
              <w:bottom w:val="single" w:color="DDD8CD" w:sz="4"/>
              <w:right w:val="single" w:color="DDD8CD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Páginas livianas y rápidas en celulares.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DD8CD" w:sz="4"/>
              <w:left w:val="single" w:color="DDD8CD" w:sz="4"/>
              <w:bottom w:val="single" w:color="DDD8CD" w:sz="4"/>
              <w:right w:val="single" w:color="DDD8CD" w:sz="4"/>
            </w:tcBorders>
            <w:shd w:fill="FAF8F4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3294B"/>
                <w:sz w:val="17"/>
                <w:szCs w:val="17"/>
              </w:rPr>
              <w:t xml:space="preserve">SEO y datos</w:t>
            </w:r>
          </w:p>
        </w:tc>
        <w:tc>
          <w:tcPr>
            <w:tcW w:type="dxa" w:w="3800"/>
            <w:tcBorders>
              <w:top w:val="single" w:color="DDD8CD" w:sz="4"/>
              <w:left w:val="single" w:color="DDD8CD" w:sz="4"/>
              <w:bottom w:val="single" w:color="DDD8CD" w:sz="4"/>
              <w:right w:val="single" w:color="DDD8CD" w:sz="4"/>
            </w:tcBorders>
            <w:shd w:fill="FAF8F4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Plugins genéricos con control limitado.</w:t>
            </w:r>
          </w:p>
        </w:tc>
        <w:tc>
          <w:tcPr>
            <w:tcW w:type="dxa" w:w="3806"/>
            <w:tcBorders>
              <w:top w:val="single" w:color="DDD8CD" w:sz="4"/>
              <w:left w:val="single" w:color="DDD8CD" w:sz="4"/>
              <w:bottom w:val="single" w:color="DDD8CD" w:sz="4"/>
              <w:right w:val="single" w:color="DDD8CD" w:sz="4"/>
            </w:tcBorders>
            <w:shd w:fill="FAF8F4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SEO y Schema.org programados a medida.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DD8CD" w:sz="4"/>
              <w:left w:val="single" w:color="DDD8CD" w:sz="4"/>
              <w:bottom w:val="single" w:color="DDD8CD" w:sz="4"/>
              <w:right w:val="single" w:color="DDD8CD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3294B"/>
                <w:sz w:val="17"/>
                <w:szCs w:val="17"/>
              </w:rPr>
              <w:t xml:space="preserve">Integración</w:t>
            </w:r>
          </w:p>
        </w:tc>
        <w:tc>
          <w:tcPr>
            <w:tcW w:type="dxa" w:w="3800"/>
            <w:tcBorders>
              <w:top w:val="single" w:color="DDD8CD" w:sz="4"/>
              <w:left w:val="single" w:color="DDD8CD" w:sz="4"/>
              <w:bottom w:val="single" w:color="DDD8CD" w:sz="4"/>
              <w:right w:val="single" w:color="DDD8CD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No puede mostrar propiedades ni barrios.</w:t>
            </w:r>
          </w:p>
        </w:tc>
        <w:tc>
          <w:tcPr>
            <w:tcW w:type="dxa" w:w="3806"/>
            <w:tcBorders>
              <w:top w:val="single" w:color="DDD8CD" w:sz="4"/>
              <w:left w:val="single" w:color="DDD8CD" w:sz="4"/>
              <w:bottom w:val="single" w:color="DDD8CD" w:sz="4"/>
              <w:right w:val="single" w:color="DDD8CD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Notas, barrios y propiedades conectados.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DD8CD" w:sz="4"/>
              <w:left w:val="single" w:color="DDD8CD" w:sz="4"/>
              <w:bottom w:val="single" w:color="DDD8CD" w:sz="4"/>
              <w:right w:val="single" w:color="DDD8CD" w:sz="4"/>
            </w:tcBorders>
            <w:shd w:fill="FAF8F4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3294B"/>
                <w:sz w:val="17"/>
                <w:szCs w:val="17"/>
              </w:rPr>
              <w:t xml:space="preserve">Mantenimiento</w:t>
            </w:r>
          </w:p>
        </w:tc>
        <w:tc>
          <w:tcPr>
            <w:tcW w:type="dxa" w:w="3800"/>
            <w:tcBorders>
              <w:top w:val="single" w:color="DDD8CD" w:sz="4"/>
              <w:left w:val="single" w:color="DDD8CD" w:sz="4"/>
              <w:bottom w:val="single" w:color="DDD8CD" w:sz="4"/>
              <w:right w:val="single" w:color="DDD8CD" w:sz="4"/>
            </w:tcBorders>
            <w:shd w:fill="FAF8F4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Actualizaciones constantes y riesgo de incompatibilidades.</w:t>
            </w:r>
          </w:p>
        </w:tc>
        <w:tc>
          <w:tcPr>
            <w:tcW w:type="dxa" w:w="3806"/>
            <w:tcBorders>
              <w:top w:val="single" w:color="DDD8CD" w:sz="4"/>
              <w:left w:val="single" w:color="DDD8CD" w:sz="4"/>
              <w:bottom w:val="single" w:color="DDD8CD" w:sz="4"/>
              <w:right w:val="single" w:color="DDD8CD" w:sz="4"/>
            </w:tcBorders>
            <w:shd w:fill="FAF8F4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Una única plataforma para mantener.</w:t>
            </w:r>
          </w:p>
        </w:tc>
      </w:tr>
    </w:tbl>
    <w:p>
      <w:pPr>
        <w:spacing w:after="0"/>
      </w:pPr>
      <w:r>
        <w:br w:type="pag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206"/>
      </w:tblGrid>
      <w:tr>
        <w:trPr>
          <w:cantSplit/>
        </w:trPr>
        <w:tc>
          <w:tcPr>
            <w:tcW w:type="dxa" w:w="700"/>
            <w:tcBorders>
              <w:top w:val="single" w:color="13294B" w:sz="4"/>
              <w:left w:val="single" w:color="13294B" w:sz="4"/>
              <w:bottom w:val="single" w:color="13294B" w:sz="4"/>
              <w:right w:val="single" w:color="13294B" w:sz="4"/>
            </w:tcBorders>
            <w:shd w:fill="13294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30"/>
                <w:szCs w:val="30"/>
              </w:rPr>
              <w:t xml:space="preserve">3</w:t>
            </w:r>
          </w:p>
        </w:tc>
        <w:tc>
          <w:tcPr>
            <w:tcW w:type="dxa" w:w="9206"/>
            <w:tcBorders>
              <w:top w:val="single" w:color="DDD8CD" w:sz="4"/>
              <w:left w:val="single" w:color="DDD8CD" w:sz="4"/>
              <w:bottom w:val="single" w:color="DDD8CD" w:sz="4"/>
              <w:right w:val="single" w:color="DDD8CD" w:sz="4"/>
            </w:tcBorders>
            <w:shd w:fill="F6F4E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Georgia" w:cs="Georgia" w:eastAsia="Georgia" w:hAnsi="Georgia"/>
                <w:b/>
                <w:bCs/>
                <w:color w:val="13294B"/>
                <w:sz w:val="23"/>
                <w:szCs w:val="23"/>
              </w:rPr>
              <w:t xml:space="preserve">Integración SEO + GEO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8"/>
                <w:sz w:val="17"/>
                <w:szCs w:val="17"/>
              </w:rPr>
              <w:t xml:space="preserve">Con ambos sitios modernizados, se trabaja la relación entre ellos: Propiedades ↔ Barrios ↔ Prensa ↔ Contenido ↔ Migliorisi.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cantSplit/>
        </w:trPr>
        <w:tc>
          <w:tcPr>
            <w:tcW w:type="dxa" w:w="3302"/>
            <w:tcBorders>
              <w:top w:val="none" w:color="FFFFFF" w:sz="0"/>
              <w:left w:val="single" w:color="DDD8CD" w:sz="4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Entity SEO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Datos estructurados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Interlinking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SEO local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GEO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Relaciones entre propiedades y contenidos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single" w:color="DDD8CD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Arquitectura semántica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Optimización de indexación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Optimización para buscadores y motores generativos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DD8CD" w:sz="4"/>
              <w:left w:val="single" w:color="DDD8CD" w:sz="4"/>
              <w:bottom w:val="single" w:color="DDD8CD" w:sz="4"/>
              <w:right w:val="single" w:color="DDD8CD" w:sz="4"/>
            </w:tcBorders>
            <w:shd w:fill="EAF4EE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Resultado: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Google y los asistentes de IA reconocen a Migliorisi como la referencia en sus barrios; cada nota de Prensa impulsa a las propiedades y cada lector puede convertirse en consulta.</w:t>
            </w:r>
          </w:p>
        </w:tc>
      </w:tr>
    </w:tbl>
    <w:p>
      <w:pPr>
        <w:spacing w:after="14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206"/>
      </w:tblGrid>
      <w:tr>
        <w:trPr>
          <w:cantSplit/>
        </w:trPr>
        <w:tc>
          <w:tcPr>
            <w:tcW w:type="dxa" w:w="700"/>
            <w:tcBorders>
              <w:top w:val="single" w:color="13294B" w:sz="4"/>
              <w:left w:val="single" w:color="13294B" w:sz="4"/>
              <w:bottom w:val="single" w:color="13294B" w:sz="4"/>
              <w:right w:val="single" w:color="13294B" w:sz="4"/>
            </w:tcBorders>
            <w:shd w:fill="EEF2F8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3294B"/>
                <w:sz w:val="30"/>
                <w:szCs w:val="30"/>
              </w:rPr>
              <w:t xml:space="preserve">4</w:t>
            </w:r>
          </w:p>
        </w:tc>
        <w:tc>
          <w:tcPr>
            <w:tcW w:type="dxa" w:w="9206"/>
            <w:tcBorders>
              <w:top w:val="single" w:color="DDD8CD" w:sz="4"/>
              <w:left w:val="single" w:color="DDD8CD" w:sz="4"/>
              <w:bottom w:val="single" w:color="DDD8CD" w:sz="4"/>
              <w:right w:val="single" w:color="DDD8CD" w:sz="4"/>
            </w:tcBorders>
            <w:shd w:fill="F6F4E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Georgia" w:cs="Georgia" w:eastAsia="Georgia" w:hAnsi="Georgia"/>
                <w:b/>
                <w:bCs/>
                <w:color w:val="13294B"/>
                <w:sz w:val="23"/>
                <w:szCs w:val="23"/>
              </w:rPr>
              <w:t xml:space="preserve">Evolución continua</w:t>
            </w:r>
            <w:r>
              <w:rPr>
                <w:rFonts w:ascii="Calibri" w:cs="Calibri" w:eastAsia="Calibri" w:hAnsi="Calibri"/>
                <w:b/>
                <w:bCs/>
                <w:color w:val="C4552D"/>
                <w:spacing w:val="20"/>
                <w:sz w:val="14"/>
                <w:szCs w:val="14"/>
              </w:rPr>
              <w:t xml:space="preserve">   OPCIONAL · MENSUAL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8"/>
                <w:sz w:val="17"/>
                <w:szCs w:val="17"/>
              </w:rPr>
              <w:t xml:space="preserve">Acompañamiento mensual para que la plataforma siga mejorando, en lugar de quedar desactualizada.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cantSplit/>
        </w:trPr>
        <w:tc>
          <w:tcPr>
            <w:tcW w:type="dxa" w:w="3302"/>
            <w:tcBorders>
              <w:top w:val="none" w:color="FFFFFF" w:sz="0"/>
              <w:left w:val="single" w:color="DDD8CD" w:sz="4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Nuevas funcionalidades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SEO y GEO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Optimización de rendimiento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UX/UI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Nuevas integraciones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Evolución del buscador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single" w:color="DDD8CD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Optimización de contenidos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Mantenimiento técnico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DD8CD" w:sz="4"/>
              <w:left w:val="single" w:color="DDD8CD" w:sz="4"/>
              <w:bottom w:val="single" w:color="DDD8CD" w:sz="4"/>
              <w:right w:val="single" w:color="DDD8CD" w:sz="4"/>
            </w:tcBorders>
            <w:shd w:fill="EAF4EE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Resultado: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un equipo técnico disponible sin sumar estructura interna, adaptándose a los cambios de Google y de los motores de IA.</w:t>
            </w:r>
          </w:p>
        </w:tc>
      </w:tr>
    </w:tbl>
    <w:p>
      <w:pPr>
        <w:spacing w:after="140"/>
      </w:pP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C4552D"/>
          <w:spacing w:val="30"/>
          <w:sz w:val="16"/>
          <w:szCs w:val="16"/>
        </w:rPr>
        <w:t xml:space="preserve">04 · BENEFICIOS</w:t>
      </w:r>
    </w:p>
    <w:p>
      <w:pPr>
        <w:pStyle w:val="Heading1"/>
        <w:spacing w:after="100"/>
      </w:pPr>
      <w:r>
        <w:rPr>
          <w:rFonts w:ascii="Georgia" w:cs="Georgia" w:eastAsia="Georgia" w:hAnsi="Georgia"/>
        </w:rPr>
        <w:t xml:space="preserve">Lo que Migliorisi obtiene al finalizar</w:t>
      </w:r>
    </w:p>
    <w:p>
      <w:pPr>
        <w:spacing w:after="120" w:line="264"/>
      </w:pPr>
      <w:r>
        <w:rPr>
          <w:rFonts w:ascii="Calibri" w:cs="Calibri" w:eastAsia="Calibri" w:hAnsi="Calibri"/>
          <w:sz w:val="20"/>
          <w:szCs w:val="20"/>
        </w:rPr>
        <w:t xml:space="preserve">La modernización es un trabajo profundo. Justamente por eso, su resultado no es “un sitio nuevo”, sino un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activo que trabaja para la inmobiliaria todos los días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cantSplit/>
        </w:trPr>
        <w:tc>
          <w:tcPr>
            <w:tcW w:type="dxa" w:w="3302"/>
            <w:tcBorders>
              <w:top w:val="single" w:color="C4552D" w:sz="12"/>
              <w:left w:val="single" w:color="FFFFFF" w:sz="4"/>
              <w:bottom w:val="single" w:color="FFFFFF" w:sz="4"/>
              <w:right w:val="single" w:color="FFFFFF" w:sz="4"/>
            </w:tcBorders>
            <w:shd w:fill="F6F4EF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top"/>
          </w:tcPr>
          <w:p>
            <w:pPr>
              <w:spacing w:after="30" w:line="240"/>
            </w:pPr>
            <w:r>
              <w:rPr>
                <w:rFonts w:ascii="Calibri" w:cs="Calibri" w:eastAsia="Calibri" w:hAnsi="Calibri"/>
                <w:b/>
                <w:bCs/>
                <w:color w:val="13294B"/>
                <w:sz w:val="18"/>
                <w:szCs w:val="18"/>
              </w:rPr>
              <w:t xml:space="preserve">Más tráfico orgánico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8"/>
                <w:sz w:val="16"/>
                <w:szCs w:val="16"/>
              </w:rPr>
              <w:t xml:space="preserve">Páginas por barrio y tipología que capturan búsquedas reales, sin pagar por cada visita.</w:t>
            </w:r>
          </w:p>
        </w:tc>
        <w:tc>
          <w:tcPr>
            <w:tcW w:type="dxa" w:w="3302"/>
            <w:tcBorders>
              <w:top w:val="single" w:color="C4552D" w:sz="12"/>
              <w:left w:val="single" w:color="FFFFFF" w:sz="4"/>
              <w:bottom w:val="single" w:color="FFFFFF" w:sz="4"/>
              <w:right w:val="single" w:color="FFFFFF" w:sz="4"/>
            </w:tcBorders>
            <w:shd w:fill="F6F4EF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top"/>
          </w:tcPr>
          <w:p>
            <w:pPr>
              <w:spacing w:after="30" w:line="240"/>
            </w:pPr>
            <w:r>
              <w:rPr>
                <w:rFonts w:ascii="Calibri" w:cs="Calibri" w:eastAsia="Calibri" w:hAnsi="Calibri"/>
                <w:b/>
                <w:bCs/>
                <w:color w:val="13294B"/>
                <w:sz w:val="18"/>
                <w:szCs w:val="18"/>
              </w:rPr>
              <w:t xml:space="preserve">Presencia en respuestas de IA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8"/>
                <w:sz w:val="16"/>
                <w:szCs w:val="16"/>
              </w:rPr>
              <w:t xml:space="preserve">Información citable para que ChatGPT, Gemini o Google recomienden a Migliorisi.</w:t>
            </w:r>
          </w:p>
        </w:tc>
        <w:tc>
          <w:tcPr>
            <w:tcW w:type="dxa" w:w="3302"/>
            <w:tcBorders>
              <w:top w:val="single" w:color="C4552D" w:sz="12"/>
              <w:left w:val="single" w:color="FFFFFF" w:sz="4"/>
              <w:bottom w:val="single" w:color="FFFFFF" w:sz="4"/>
              <w:right w:val="single" w:color="FFFFFF" w:sz="4"/>
            </w:tcBorders>
            <w:shd w:fill="F6F4EF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top"/>
          </w:tcPr>
          <w:p>
            <w:pPr>
              <w:spacing w:after="30" w:line="240"/>
            </w:pPr>
            <w:r>
              <w:rPr>
                <w:rFonts w:ascii="Calibri" w:cs="Calibri" w:eastAsia="Calibri" w:hAnsi="Calibri"/>
                <w:b/>
                <w:bCs/>
                <w:color w:val="13294B"/>
                <w:sz w:val="18"/>
                <w:szCs w:val="18"/>
              </w:rPr>
              <w:t xml:space="preserve">Consultas propias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8"/>
                <w:sz w:val="16"/>
                <w:szCs w:val="16"/>
              </w:rPr>
              <w:t xml:space="preserve">Menos dependencia de portales: el cliente consulta directo, sin la competencia al lado.</w:t>
            </w:r>
          </w:p>
        </w:tc>
      </w:tr>
      <w:tr>
        <w:trPr>
          <w:cantSplit/>
        </w:trPr>
        <w:tc>
          <w:tcPr>
            <w:tcW w:type="dxa" w:w="3302"/>
            <w:tcBorders>
              <w:top w:val="single" w:color="C4552D" w:sz="12"/>
              <w:left w:val="single" w:color="FFFFFF" w:sz="4"/>
              <w:bottom w:val="single" w:color="FFFFFF" w:sz="4"/>
              <w:right w:val="single" w:color="FFFFFF" w:sz="4"/>
            </w:tcBorders>
            <w:shd w:fill="F6F4EF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top"/>
          </w:tcPr>
          <w:p>
            <w:pPr>
              <w:spacing w:after="30" w:line="240"/>
            </w:pPr>
            <w:r>
              <w:rPr>
                <w:rFonts w:ascii="Calibri" w:cs="Calibri" w:eastAsia="Calibri" w:hAnsi="Calibri"/>
                <w:b/>
                <w:bCs/>
                <w:color w:val="13294B"/>
                <w:sz w:val="18"/>
                <w:szCs w:val="18"/>
              </w:rPr>
              <w:t xml:space="preserve">Experiencia móvil superior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8"/>
                <w:sz w:val="16"/>
                <w:szCs w:val="16"/>
              </w:rPr>
              <w:t xml:space="preserve">Rápida, clara y con WhatsApp a un toque: menos abandono, más contactos.</w:t>
            </w:r>
          </w:p>
        </w:tc>
        <w:tc>
          <w:tcPr>
            <w:tcW w:type="dxa" w:w="3302"/>
            <w:tcBorders>
              <w:top w:val="single" w:color="C4552D" w:sz="12"/>
              <w:left w:val="single" w:color="FFFFFF" w:sz="4"/>
              <w:bottom w:val="single" w:color="FFFFFF" w:sz="4"/>
              <w:right w:val="single" w:color="FFFFFF" w:sz="4"/>
            </w:tcBorders>
            <w:shd w:fill="F6F4EF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top"/>
          </w:tcPr>
          <w:p>
            <w:pPr>
              <w:spacing w:after="30" w:line="240"/>
            </w:pPr>
            <w:r>
              <w:rPr>
                <w:rFonts w:ascii="Calibri" w:cs="Calibri" w:eastAsia="Calibri" w:hAnsi="Calibri"/>
                <w:b/>
                <w:bCs/>
                <w:color w:val="13294B"/>
                <w:sz w:val="18"/>
                <w:szCs w:val="18"/>
              </w:rPr>
              <w:t xml:space="preserve">Seguridad y estabilidad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8"/>
                <w:sz w:val="16"/>
                <w:szCs w:val="16"/>
              </w:rPr>
              <w:t xml:space="preserve">Sin plugins vulnerables ni sorpresas por actualizaciones.</w:t>
            </w:r>
          </w:p>
        </w:tc>
        <w:tc>
          <w:tcPr>
            <w:tcW w:type="dxa" w:w="3302"/>
            <w:tcBorders>
              <w:top w:val="single" w:color="C4552D" w:sz="12"/>
              <w:left w:val="single" w:color="FFFFFF" w:sz="4"/>
              <w:bottom w:val="single" w:color="FFFFFF" w:sz="4"/>
              <w:right w:val="single" w:color="FFFFFF" w:sz="4"/>
            </w:tcBorders>
            <w:shd w:fill="F6F4EF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top"/>
          </w:tcPr>
          <w:p>
            <w:pPr>
              <w:spacing w:after="30" w:line="240"/>
            </w:pPr>
            <w:r>
              <w:rPr>
                <w:rFonts w:ascii="Calibri" w:cs="Calibri" w:eastAsia="Calibri" w:hAnsi="Calibri"/>
                <w:b/>
                <w:bCs/>
                <w:color w:val="13294B"/>
                <w:sz w:val="18"/>
                <w:szCs w:val="18"/>
              </w:rPr>
              <w:t xml:space="preserve">Autoridad de marca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8"/>
                <w:sz w:val="16"/>
                <w:szCs w:val="16"/>
              </w:rPr>
              <w:t xml:space="preserve">70 años de trayectoria traducidos en señales de confianza.</w:t>
            </w:r>
          </w:p>
        </w:tc>
      </w:tr>
      <w:tr>
        <w:trPr>
          <w:cantSplit/>
        </w:trPr>
        <w:tc>
          <w:tcPr>
            <w:tcW w:type="dxa" w:w="3302"/>
            <w:tcBorders>
              <w:top w:val="single" w:color="C4552D" w:sz="12"/>
              <w:left w:val="single" w:color="FFFFFF" w:sz="4"/>
              <w:bottom w:val="single" w:color="FFFFFF" w:sz="4"/>
              <w:right w:val="single" w:color="FFFFFF" w:sz="4"/>
            </w:tcBorders>
            <w:shd w:fill="F6F4EF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top"/>
          </w:tcPr>
          <w:p>
            <w:pPr>
              <w:spacing w:after="30" w:line="240"/>
            </w:pPr>
            <w:r>
              <w:rPr>
                <w:rFonts w:ascii="Calibri" w:cs="Calibri" w:eastAsia="Calibri" w:hAnsi="Calibri"/>
                <w:b/>
                <w:bCs/>
                <w:color w:val="13294B"/>
                <w:sz w:val="18"/>
                <w:szCs w:val="18"/>
              </w:rPr>
              <w:t xml:space="preserve">Contenido que convierte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8"/>
                <w:sz w:val="16"/>
                <w:szCs w:val="16"/>
              </w:rPr>
              <w:t xml:space="preserve">Cada nota de Prensa lleva a propiedades y barrios.</w:t>
            </w:r>
          </w:p>
        </w:tc>
        <w:tc>
          <w:tcPr>
            <w:tcW w:type="dxa" w:w="3302"/>
            <w:tcBorders>
              <w:top w:val="single" w:color="C4552D" w:sz="12"/>
              <w:left w:val="single" w:color="FFFFFF" w:sz="4"/>
              <w:bottom w:val="single" w:color="FFFFFF" w:sz="4"/>
              <w:right w:val="single" w:color="FFFFFF" w:sz="4"/>
            </w:tcBorders>
            <w:shd w:fill="F6F4EF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top"/>
          </w:tcPr>
          <w:p>
            <w:pPr>
              <w:spacing w:after="30" w:line="240"/>
            </w:pPr>
            <w:r>
              <w:rPr>
                <w:rFonts w:ascii="Calibri" w:cs="Calibri" w:eastAsia="Calibri" w:hAnsi="Calibri"/>
                <w:b/>
                <w:bCs/>
                <w:color w:val="13294B"/>
                <w:sz w:val="18"/>
                <w:szCs w:val="18"/>
              </w:rPr>
              <w:t xml:space="preserve">Datos propios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8"/>
                <w:sz w:val="16"/>
                <w:szCs w:val="16"/>
              </w:rPr>
              <w:t xml:space="preserve">Qué buscan los clientes, en qué barrios y a qué precio.</w:t>
            </w:r>
          </w:p>
        </w:tc>
        <w:tc>
          <w:tcPr>
            <w:tcW w:type="dxa" w:w="3302"/>
            <w:tcBorders>
              <w:top w:val="single" w:color="C4552D" w:sz="12"/>
              <w:left w:val="single" w:color="FFFFFF" w:sz="4"/>
              <w:bottom w:val="single" w:color="FFFFFF" w:sz="4"/>
              <w:right w:val="single" w:color="FFFFFF" w:sz="4"/>
            </w:tcBorders>
            <w:shd w:fill="F6F4EF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top"/>
          </w:tcPr>
          <w:p>
            <w:pPr>
              <w:spacing w:after="30" w:line="240"/>
            </w:pPr>
            <w:r>
              <w:rPr>
                <w:rFonts w:ascii="Calibri" w:cs="Calibri" w:eastAsia="Calibri" w:hAnsi="Calibri"/>
                <w:b/>
                <w:bCs/>
                <w:color w:val="13294B"/>
                <w:sz w:val="18"/>
                <w:szCs w:val="18"/>
              </w:rPr>
              <w:t xml:space="preserve">Preparada para crecer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8"/>
                <w:sz w:val="16"/>
                <w:szCs w:val="16"/>
              </w:rPr>
              <w:t xml:space="preserve">Nuevas funciones sin tener que rehacer el sitio.</w:t>
            </w:r>
          </w:p>
        </w:tc>
      </w:tr>
    </w:tbl>
    <w:p>
      <w:pPr>
        <w:spacing w:after="20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single" w:color="DDD8CD" w:sz="4"/>
              <w:left w:val="single" w:color="DDD8CD" w:sz="4"/>
              <w:bottom w:val="single" w:color="DDD8CD" w:sz="4"/>
              <w:right w:val="single" w:color="DDD8CD" w:sz="4"/>
            </w:tcBorders>
            <w:shd w:fill="F8E6D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C4552D"/>
                <w:sz w:val="15"/>
                <w:szCs w:val="15"/>
              </w:rPr>
              <w:t xml:space="preserve">HOY</w:t>
            </w:r>
          </w:p>
        </w:tc>
        <w:tc>
          <w:tcPr>
            <w:tcW w:type="dxa" w:w="4953"/>
            <w:tcBorders>
              <w:top w:val="single" w:color="DDD8CD" w:sz="4"/>
              <w:left w:val="single" w:color="DDD8CD" w:sz="4"/>
              <w:bottom w:val="single" w:color="DDD8CD" w:sz="4"/>
              <w:right w:val="single" w:color="DDD8CD" w:sz="4"/>
            </w:tcBorders>
            <w:shd w:fill="EAF4EE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2F7D5B"/>
                <w:sz w:val="15"/>
                <w:szCs w:val="15"/>
              </w:rPr>
              <w:t xml:space="preserve">DESPUÉS</w:t>
            </w:r>
          </w:p>
        </w:tc>
      </w:tr>
      <w:tr>
        <w:trPr>
          <w:cantSplit/>
        </w:trPr>
        <w:tc>
          <w:tcPr>
            <w:tcW w:type="dxa" w:w="4953"/>
            <w:tcBorders>
              <w:top w:val="single" w:color="DDD8CD" w:sz="4"/>
              <w:left w:val="single" w:color="DDD8CD" w:sz="4"/>
              <w:bottom w:val="single" w:color="DDD8CD" w:sz="4"/>
              <w:right w:val="single" w:color="DDD8CD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Dos sitios separados que no se potencian entre sí.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Búsquedas por barrio capturadas por portales.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Metadata genérica y datos poco estructurados.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Prensa en WordPress, con mantenimiento de plugins.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Poca visibilidad en respuestas de IA.</w:t>
            </w:r>
          </w:p>
        </w:tc>
        <w:tc>
          <w:tcPr>
            <w:tcW w:type="dxa" w:w="4953"/>
            <w:tcBorders>
              <w:top w:val="single" w:color="DDD8CD" w:sz="4"/>
              <w:left w:val="single" w:color="DDD8CD" w:sz="4"/>
              <w:bottom w:val="single" w:color="DDD8CD" w:sz="4"/>
              <w:right w:val="single" w:color="DDD8CD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Un ecosistema: propiedades, barrios y Prensa conectados.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Páginas propias para cada barrio y tipo de búsqueda.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SEO y Schema.org programados en cada página.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Plataforma nativa, rápida y segura.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10" w:line="235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Migliorisi como fuente citable para buscadores e IA.</w:t>
            </w:r>
          </w:p>
        </w:tc>
      </w:tr>
    </w:tbl>
    <w:p>
      <w:pPr>
        <w:spacing w:after="0"/>
      </w:pPr>
      <w:r>
        <w:br w:type="page"/>
      </w:r>
    </w:p>
    <w:p>
      <w:pPr>
        <w:spacing w:after="20" w:before="0"/>
      </w:pPr>
      <w:r>
        <w:rPr>
          <w:rFonts w:ascii="Calibri" w:cs="Calibri" w:eastAsia="Calibri" w:hAnsi="Calibri"/>
          <w:b/>
          <w:bCs/>
          <w:color w:val="C4552D"/>
          <w:spacing w:val="30"/>
          <w:sz w:val="16"/>
          <w:szCs w:val="16"/>
        </w:rPr>
        <w:t xml:space="preserve">05 · INVERSIÓN</w:t>
      </w:r>
    </w:p>
    <w:p>
      <w:pPr>
        <w:pStyle w:val="Heading1"/>
        <w:spacing w:after="100"/>
      </w:pPr>
      <w:r>
        <w:rPr>
          <w:rFonts w:ascii="Georgia" w:cs="Georgia" w:eastAsia="Georgia" w:hAnsi="Georgia"/>
        </w:rPr>
        <w:t xml:space="preserve">Una inversión en etapas, a su ritmo</w:t>
      </w:r>
    </w:p>
    <w:p>
      <w:pPr>
        <w:spacing w:after="160" w:line="264"/>
      </w:pPr>
      <w:r>
        <w:rPr>
          <w:rFonts w:ascii="Calibri" w:cs="Calibri" w:eastAsia="Calibri" w:hAnsi="Calibri"/>
          <w:sz w:val="20"/>
          <w:szCs w:val="20"/>
        </w:rPr>
        <w:t xml:space="preserve">No es un gasto en un sitio web: es la construcción de un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canal propio de captación</w:t>
      </w:r>
      <w:r>
        <w:rPr>
          <w:rFonts w:ascii="Calibri" w:cs="Calibri" w:eastAsia="Calibri" w:hAnsi="Calibri"/>
          <w:sz w:val="20"/>
          <w:szCs w:val="20"/>
        </w:rPr>
        <w:t xml:space="preserve"> que trabaja las 24 horas y cuyo valor crece con el tiempo. Por eso se organiza en etapas independientes, que pueden contratarse de forma progresiva.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6"/>
        <w:gridCol w:w="2477"/>
        <w:gridCol w:w="2477"/>
        <w:gridCol w:w="2476"/>
      </w:tblGrid>
      <w:tr>
        <w:tc>
          <w:tcPr>
            <w:tcW w:type="dxa" w:w="2476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F6F4EF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C4552D"/>
                <w:sz w:val="14"/>
                <w:szCs w:val="14"/>
              </w:rPr>
              <w:t xml:space="preserve">ETAPA 1 · PUNTO DE PARTIDA</w:t>
            </w:r>
          </w:p>
        </w:tc>
        <w:tc>
          <w:tcPr>
            <w:tcW w:type="dxa" w:w="2477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F6F4EF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6478"/>
                <w:sz w:val="14"/>
                <w:szCs w:val="14"/>
              </w:rPr>
              <w:t xml:space="preserve">ETAPA 2</w:t>
            </w:r>
          </w:p>
        </w:tc>
        <w:tc>
          <w:tcPr>
            <w:tcW w:type="dxa" w:w="2477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F6F4EF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6478"/>
                <w:sz w:val="14"/>
                <w:szCs w:val="14"/>
              </w:rPr>
              <w:t xml:space="preserve">ETAPA 3</w:t>
            </w:r>
          </w:p>
        </w:tc>
        <w:tc>
          <w:tcPr>
            <w:tcW w:type="dxa" w:w="2476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F6F4EF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6478"/>
                <w:sz w:val="14"/>
                <w:szCs w:val="14"/>
              </w:rPr>
              <w:t xml:space="preserve">ETAPA 4 · OPCIONAL</w:t>
            </w:r>
          </w:p>
        </w:tc>
      </w:tr>
      <w:tr>
        <w:trPr>
          <w:trHeight w:val="820" w:hRule="atLeast"/>
        </w:trPr>
        <w:tc>
          <w:tcPr>
            <w:tcW w:type="dxa" w:w="2476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F6F4EF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3294B"/>
                <w:sz w:val="18"/>
                <w:szCs w:val="18"/>
              </w:rPr>
              <w:t xml:space="preserve">Análisis, arquitectura y modernización de plataforma</w:t>
            </w:r>
          </w:p>
        </w:tc>
        <w:tc>
          <w:tcPr>
            <w:tcW w:type="dxa" w:w="2477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F6F4EF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3294B"/>
                <w:sz w:val="18"/>
                <w:szCs w:val="18"/>
              </w:rPr>
              <w:t xml:space="preserve">Migración y modernización de Migliorisi Prensa</w:t>
            </w:r>
          </w:p>
        </w:tc>
        <w:tc>
          <w:tcPr>
            <w:tcW w:type="dxa" w:w="2477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F6F4EF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3294B"/>
                <w:sz w:val="18"/>
                <w:szCs w:val="18"/>
              </w:rPr>
              <w:t xml:space="preserve">Integración SEO + GEO</w:t>
            </w:r>
          </w:p>
        </w:tc>
        <w:tc>
          <w:tcPr>
            <w:tcW w:type="dxa" w:w="2476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F6F4EF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3294B"/>
                <w:sz w:val="18"/>
                <w:szCs w:val="18"/>
              </w:rPr>
              <w:t xml:space="preserve">Evolución continua</w:t>
            </w:r>
          </w:p>
        </w:tc>
      </w:tr>
      <w:tr>
        <w:tc>
          <w:tcPr>
            <w:tcW w:type="dxa" w:w="2476"/>
            <w:tcBorders>
              <w:top w:val="single" w:color="FFFFFF" w:sz="4"/>
              <w:left w:val="single" w:color="FFFFFF" w:sz="4"/>
              <w:bottom w:val="single" w:color="C4552D" w:sz="18"/>
              <w:right w:val="single" w:color="FFFFFF" w:sz="4"/>
            </w:tcBorders>
            <w:shd w:fill="F6F4EF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top"/>
          </w:tcPr>
          <w:p>
            <w:pPr>
              <w:spacing w:after="10"/>
            </w:pPr>
            <w:r>
              <w:rPr>
                <w:rFonts w:ascii="Georgia" w:cs="Georgia" w:eastAsia="Georgia" w:hAnsi="Georgia"/>
                <w:b/>
                <w:bCs/>
                <w:color w:val="13294B"/>
                <w:sz w:val="30"/>
                <w:szCs w:val="30"/>
              </w:rPr>
              <w:t xml:space="preserve">$3.500.000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8"/>
                <w:sz w:val="15"/>
                <w:szCs w:val="15"/>
              </w:rPr>
              <w:t xml:space="preserve">Inversión por etapa</w:t>
            </w:r>
          </w:p>
        </w:tc>
        <w:tc>
          <w:tcPr>
            <w:tcW w:type="dxa" w:w="2477"/>
            <w:tcBorders>
              <w:top w:val="single" w:color="FFFFFF" w:sz="4"/>
              <w:left w:val="single" w:color="FFFFFF" w:sz="4"/>
              <w:bottom w:val="single" w:color="13294B" w:sz="18"/>
              <w:right w:val="single" w:color="FFFFFF" w:sz="4"/>
            </w:tcBorders>
            <w:shd w:fill="F6F4EF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top"/>
          </w:tcPr>
          <w:p>
            <w:pPr>
              <w:spacing w:after="10"/>
            </w:pPr>
            <w:r>
              <w:rPr>
                <w:rFonts w:ascii="Georgia" w:cs="Georgia" w:eastAsia="Georgia" w:hAnsi="Georgia"/>
                <w:b/>
                <w:bCs/>
                <w:color w:val="13294B"/>
                <w:sz w:val="30"/>
                <w:szCs w:val="30"/>
              </w:rPr>
              <w:t xml:space="preserve">$2.000.000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8"/>
                <w:sz w:val="15"/>
                <w:szCs w:val="15"/>
              </w:rPr>
              <w:t xml:space="preserve">Inversión por etapa</w:t>
            </w:r>
          </w:p>
        </w:tc>
        <w:tc>
          <w:tcPr>
            <w:tcW w:type="dxa" w:w="2477"/>
            <w:tcBorders>
              <w:top w:val="single" w:color="FFFFFF" w:sz="4"/>
              <w:left w:val="single" w:color="FFFFFF" w:sz="4"/>
              <w:bottom w:val="single" w:color="13294B" w:sz="18"/>
              <w:right w:val="single" w:color="FFFFFF" w:sz="4"/>
            </w:tcBorders>
            <w:shd w:fill="F6F4EF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top"/>
          </w:tcPr>
          <w:p>
            <w:pPr>
              <w:spacing w:after="10"/>
            </w:pPr>
            <w:r>
              <w:rPr>
                <w:rFonts w:ascii="Georgia" w:cs="Georgia" w:eastAsia="Georgia" w:hAnsi="Georgia"/>
                <w:b/>
                <w:bCs/>
                <w:color w:val="13294B"/>
                <w:sz w:val="30"/>
                <w:szCs w:val="30"/>
              </w:rPr>
              <w:t xml:space="preserve">$1.500.000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8"/>
                <w:sz w:val="15"/>
                <w:szCs w:val="15"/>
              </w:rPr>
              <w:t xml:space="preserve">Inversión por etapa</w:t>
            </w:r>
          </w:p>
        </w:tc>
        <w:tc>
          <w:tcPr>
            <w:tcW w:type="dxa" w:w="2476"/>
            <w:tcBorders>
              <w:top w:val="single" w:color="FFFFFF" w:sz="4"/>
              <w:left w:val="single" w:color="FFFFFF" w:sz="4"/>
              <w:bottom w:val="single" w:color="13294B" w:sz="18"/>
              <w:right w:val="single" w:color="FFFFFF" w:sz="4"/>
            </w:tcBorders>
            <w:shd w:fill="F6F4EF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top"/>
          </w:tcPr>
          <w:p>
            <w:pPr>
              <w:spacing w:after="10"/>
            </w:pPr>
            <w:r>
              <w:rPr>
                <w:rFonts w:ascii="Georgia" w:cs="Georgia" w:eastAsia="Georgia" w:hAnsi="Georgia"/>
                <w:b/>
                <w:bCs/>
                <w:color w:val="13294B"/>
                <w:sz w:val="30"/>
                <w:szCs w:val="30"/>
              </w:rPr>
              <w:t xml:space="preserve">$500.000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8"/>
                <w:sz w:val="15"/>
                <w:szCs w:val="15"/>
              </w:rPr>
              <w:t xml:space="preserve">Por mes · sin obligación</w:t>
            </w:r>
          </w:p>
        </w:tc>
      </w:tr>
    </w:tbl>
    <w:p>
      <w:pPr>
        <w:spacing w:after="200" w:line="264"/>
      </w:pPr>
      <w:r>
        <w:rPr>
          <w:rFonts w:ascii="Calibri" w:cs="Calibri" w:eastAsia="Calibri" w:hAnsi="Calibri"/>
          <w:i/>
          <w:iCs/>
          <w:color w:val="5B6478"/>
          <w:sz w:val="16"/>
          <w:szCs w:val="16"/>
        </w:rPr>
        <w:t xml:space="preserve">Valores expresados en pesos argentinos. Las etapas son independientes y pueden contratarse progresivamente; cada una cuenta con un alcance e inversión definidos, permitiendo avanzar de acuerdo con las prioridades de Migliorisi.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c>
          <w:tcPr>
            <w:tcW w:type="dxa" w:w="3302"/>
            <w:tcBorders>
              <w:top w:val="single" w:color="DDD8CD" w:sz="4"/>
              <w:left w:val="single" w:color="DDD8CD" w:sz="4"/>
              <w:bottom w:val="single" w:color="DDD8CD" w:sz="4"/>
              <w:right w:val="single" w:color="DDD8CD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3294B"/>
                <w:sz w:val="19"/>
                <w:szCs w:val="19"/>
              </w:rPr>
              <w:t xml:space="preserve">Un activo, no un alquiler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8"/>
                <w:sz w:val="17"/>
                <w:szCs w:val="17"/>
              </w:rPr>
              <w:t xml:space="preserve">La plataforma queda para Migliorisi. A diferencia de un portal o una suscripción, cada peso invertido construye valor propio.</w:t>
            </w:r>
          </w:p>
        </w:tc>
        <w:tc>
          <w:tcPr>
            <w:tcW w:type="dxa" w:w="3302"/>
            <w:tcBorders>
              <w:top w:val="single" w:color="DDD8CD" w:sz="4"/>
              <w:left w:val="single" w:color="DDD8CD" w:sz="4"/>
              <w:bottom w:val="single" w:color="DDD8CD" w:sz="4"/>
              <w:right w:val="single" w:color="DDD8CD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3294B"/>
                <w:sz w:val="19"/>
                <w:szCs w:val="19"/>
              </w:rPr>
              <w:t xml:space="preserve">Retorno acumulativo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8"/>
                <w:sz w:val="17"/>
                <w:szCs w:val="17"/>
              </w:rPr>
              <w:t xml:space="preserve">El posicionamiento orgánico no se apaga cuando termina un pago: sigue generando visitas y consultas mes a mes.</w:t>
            </w:r>
          </w:p>
        </w:tc>
        <w:tc>
          <w:tcPr>
            <w:tcW w:type="dxa" w:w="3302"/>
            <w:tcBorders>
              <w:top w:val="single" w:color="DDD8CD" w:sz="4"/>
              <w:left w:val="single" w:color="DDD8CD" w:sz="4"/>
              <w:bottom w:val="single" w:color="DDD8CD" w:sz="4"/>
              <w:right w:val="single" w:color="DDD8CD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3294B"/>
                <w:sz w:val="19"/>
                <w:szCs w:val="19"/>
              </w:rPr>
              <w:t xml:space="preserve">Avance sin riesgo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8"/>
                <w:sz w:val="17"/>
                <w:szCs w:val="17"/>
              </w:rPr>
              <w:t xml:space="preserve">Cada etapa tiene un entregable concreto. Migliorisi evalúa los resultados antes de decidir la siguiente.</w:t>
            </w:r>
          </w:p>
        </w:tc>
      </w:tr>
    </w:tbl>
    <w:p>
      <w:pPr>
        <w:spacing w:after="160"/>
      </w:pPr>
    </w:p>
    <w:p>
      <w:pPr>
        <w:spacing w:after="80" w:line="264"/>
      </w:pPr>
      <w:r>
        <w:rPr>
          <w:rFonts w:ascii="Calibri" w:cs="Calibri" w:eastAsia="Calibri" w:hAnsi="Calibri"/>
          <w:sz w:val="20"/>
          <w:szCs w:val="20"/>
        </w:rPr>
        <w:t xml:space="preserve">En el mercado inmobiliario,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unas pocas operaciones adicionales originadas en el canal propio pueden compensar la inversión</w:t>
      </w:r>
      <w:r>
        <w:rPr>
          <w:rFonts w:ascii="Calibri" w:cs="Calibri" w:eastAsia="Calibri" w:hAnsi="Calibri"/>
          <w:sz w:val="20"/>
          <w:szCs w:val="20"/>
        </w:rPr>
        <w:t xml:space="preserve">; a partir de ahí, todo lo que genere la plataforma es valor para Migliorisi.</w:t>
      </w:r>
    </w:p>
    <w:p>
      <w:pPr>
        <w:spacing w:after="20" w:before="260"/>
      </w:pPr>
      <w:r>
        <w:rPr>
          <w:rFonts w:ascii="Calibri" w:cs="Calibri" w:eastAsia="Calibri" w:hAnsi="Calibri"/>
          <w:b/>
          <w:bCs/>
          <w:color w:val="C4552D"/>
          <w:spacing w:val="30"/>
          <w:sz w:val="16"/>
          <w:szCs w:val="16"/>
        </w:rPr>
        <w:t xml:space="preserve">06 · PRÓXIMOS PASOS</w:t>
      </w:r>
    </w:p>
    <w:p>
      <w:pPr>
        <w:pStyle w:val="Heading1"/>
        <w:spacing w:after="100"/>
      </w:pPr>
      <w:r>
        <w:rPr>
          <w:rFonts w:ascii="Georgia" w:cs="Georgia" w:eastAsia="Georgia" w:hAnsi="Georgia"/>
        </w:rPr>
        <w:t xml:space="preserve">Cómo seguimos</w:t>
      </w:r>
    </w:p>
    <w:p>
      <w:pPr>
        <w:pStyle w:val="ListParagraph"/>
        <w:numPr>
          <w:ilvl w:val="0"/>
          <w:numId w:val="4"/>
        </w:numPr>
        <w:spacing w:after="7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Reunión de revisión:</w:t>
      </w:r>
      <w:r>
        <w:rPr>
          <w:rFonts w:ascii="Calibri" w:cs="Calibri" w:eastAsia="Calibri" w:hAnsi="Calibri"/>
          <w:sz w:val="20"/>
          <w:szCs w:val="20"/>
        </w:rPr>
        <w:t xml:space="preserve"> recorremos juntos esta propuesta y ajustamos prioridades.</w:t>
      </w:r>
    </w:p>
    <w:p>
      <w:pPr>
        <w:pStyle w:val="ListParagraph"/>
        <w:numPr>
          <w:ilvl w:val="0"/>
          <w:numId w:val="4"/>
        </w:numPr>
        <w:spacing w:after="7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Definición de etapas:</w:t>
      </w:r>
      <w:r>
        <w:rPr>
          <w:rFonts w:ascii="Calibri" w:cs="Calibri" w:eastAsia="Calibri" w:hAnsi="Calibri"/>
          <w:sz w:val="20"/>
          <w:szCs w:val="20"/>
        </w:rPr>
        <w:t xml:space="preserve"> Migliorisi elige con qué etapa comenzar (recomendamos la Etapa 1 como base).</w:t>
      </w:r>
    </w:p>
    <w:p>
      <w:pPr>
        <w:pStyle w:val="ListParagraph"/>
        <w:numPr>
          <w:ilvl w:val="0"/>
          <w:numId w:val="4"/>
        </w:numPr>
        <w:spacing w:after="7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Accesos y relevamiento:</w:t>
      </w:r>
      <w:r>
        <w:rPr>
          <w:rFonts w:ascii="Calibri" w:cs="Calibri" w:eastAsia="Calibri" w:hAnsi="Calibri"/>
          <w:sz w:val="20"/>
          <w:szCs w:val="20"/>
        </w:rPr>
        <w:t xml:space="preserve"> coordinamos accesos a la plataforma actual, a Prensa y a las herramientas de medición.</w:t>
      </w:r>
    </w:p>
    <w:p>
      <w:pPr>
        <w:pStyle w:val="ListParagraph"/>
        <w:numPr>
          <w:ilvl w:val="0"/>
          <w:numId w:val="4"/>
        </w:numPr>
        <w:spacing w:after="7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Inicio del proyecto:</w:t>
      </w:r>
      <w:r>
        <w:rPr>
          <w:rFonts w:ascii="Calibri" w:cs="Calibri" w:eastAsia="Calibri" w:hAnsi="Calibri"/>
          <w:sz w:val="20"/>
          <w:szCs w:val="20"/>
        </w:rPr>
        <w:t xml:space="preserve"> comenzamos la auditoría y compartimos avances periódicos.</w:t>
      </w:r>
    </w:p>
    <w:p>
      <w:pPr>
        <w:spacing w:after="200"/>
      </w:pPr>
    </w:p>
    <w:p>
      <w:pPr>
        <w:pBdr>
          <w:top w:val="single" w:color="13294B" w:sz="12"/>
          <w:bottom w:val="single" w:color="DDD8CD" w:sz="4"/>
        </w:pBdr>
        <w:spacing w:after="0" w:before="0"/>
      </w:pPr>
    </w:p>
    <w:p>
      <w:pPr>
        <w:spacing w:after="60" w:before="140"/>
      </w:pPr>
      <w:r>
        <w:rPr>
          <w:rFonts w:ascii="Georgia" w:cs="Georgia" w:eastAsia="Georgia" w:hAnsi="Georgia"/>
          <w:b/>
          <w:bCs/>
          <w:color w:val="13294B"/>
          <w:sz w:val="24"/>
          <w:szCs w:val="24"/>
        </w:rPr>
        <w:t xml:space="preserve">Migliorisi construyó su reputación a lo largo de 70 años, barrio por barrio.</w:t>
      </w:r>
    </w:p>
    <w:p>
      <w:pPr>
        <w:spacing w:after="0" w:line="264"/>
      </w:pPr>
      <w:r>
        <w:rPr>
          <w:rFonts w:ascii="Calibri" w:cs="Calibri" w:eastAsia="Calibri" w:hAnsi="Calibri"/>
          <w:color w:val="5B6478"/>
          <w:sz w:val="20"/>
          <w:szCs w:val="20"/>
        </w:rPr>
        <w:t xml:space="preserve">El próximo paso es que su presencia digital esté a la misma altura: que cada búsqueda, en Google o en un asistente de inteligencia artificial, lleve a Migliorisi. Quedamos a disposición para avanzar.</w:t>
      </w:r>
    </w:p>
    <w:sectPr>
      <w:footerReference w:type="default" r:id="rId7"/>
      <w:pgSz w:w="11906" w:h="16838" w:orient="portrait"/>
      <w:pgMar w:top="900" w:right="1000" w:bottom="900" w:left="1000" w:header="708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906"/>
      </w:tabs>
    </w:pPr>
    <w:r>
      <w:rPr>
        <w:rFonts w:ascii="Calibri" w:cs="Calibri" w:eastAsia="Calibri" w:hAnsi="Calibri"/>
        <w:color w:val="5B6478"/>
        <w:sz w:val="14"/>
        <w:szCs w:val="14"/>
      </w:rPr>
      <w:t xml:space="preserve">Propuesta de modernización digital · Migliorisi Propiedades</w:t>
    </w:r>
    <w:r>
      <w:rPr>
        <w:rFonts w:ascii="Calibri" w:cs="Calibri" w:eastAsia="Calibri" w:hAnsi="Calibri"/>
        <w:sz w:val="14"/>
        <w:szCs w:val="14"/>
      </w:rPr>
      <w:t xml:space="preserve">	</w:t>
    </w:r>
    <w:r>
      <w:rPr>
        <w:rFonts w:ascii="Calibri" w:cs="Calibri" w:eastAsia="Calibri" w:hAnsi="Calibri"/>
        <w:color w:val="5B6478"/>
        <w:sz w:val="14"/>
        <w:szCs w:val="14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220" w:hanging="200"/>
      </w:pPr>
      <w:rPr>
        <w:color w:val="C4552D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✓"/>
      <w:lvlJc w:val="left"/>
      <w:pPr>
        <w:ind w:left="240" w:hanging="220"/>
      </w:pPr>
      <w:rPr>
        <w:b/>
        <w:bCs/>
        <w:color w:val="2F7D5B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b/>
        <w:bCs/>
        <w:color w:val="C4552D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4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0"/>
      <w:outlineLvl w:val="0"/>
    </w:pPr>
    <w:rPr>
      <w:rFonts w:ascii="Georgia" w:cs="Georgia" w:eastAsia="Georgia" w:hAnsi="Georgia"/>
      <w:b/>
      <w:bCs/>
      <w:color w:val="13294B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modernización digital — Migliorisi</dc:title>
  <dc:creator>Propuesta Migliorisi</dc:creator>
  <cp:lastModifiedBy>Un-named</cp:lastModifiedBy>
  <cp:revision>1</cp:revision>
  <dcterms:created xsi:type="dcterms:W3CDTF">2026-09-25T18:27:39.356Z</dcterms:created>
  <dcterms:modified xsi:type="dcterms:W3CDTF">2026-09-25T18:27:39.356Z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