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/>
          <w:i w:val="0"/>
          <w:sz w:val="24"/>
        </w:rPr>
        <w:t>УТВЕРЖДАЮ</w:t>
      </w:r>
    </w:p>
    <w:p>
      <w:pPr>
        <w:spacing w:after="0"/>
        <w:jc w:val="right"/>
      </w:pPr>
      <w:r>
        <w:rPr>
          <w:b w:val="0"/>
          <w:i w:val="0"/>
          <w:sz w:val="24"/>
        </w:rPr>
        <w:t>Заместитель начальника связи</w:t>
      </w:r>
    </w:p>
    <w:p>
      <w:pPr>
        <w:spacing w:after="0"/>
        <w:jc w:val="right"/>
      </w:pPr>
      <w:r>
        <w:rPr>
          <w:b w:val="0"/>
          <w:i w:val="0"/>
          <w:sz w:val="24"/>
        </w:rPr>
        <w:t>___________________ /_____________/</w:t>
      </w:r>
    </w:p>
    <w:p>
      <w:pPr>
        <w:spacing w:after="480"/>
        <w:jc w:val="right"/>
      </w:pPr>
      <w:r>
        <w:rPr>
          <w:b w:val="0"/>
          <w:i w:val="0"/>
          <w:sz w:val="24"/>
        </w:rPr>
        <w:t>«____» ______________ 20___ г.</w:t>
      </w:r>
    </w:p>
    <w:p>
      <w:pPr>
        <w:spacing w:after="40"/>
        <w:jc w:val="center"/>
      </w:pPr>
      <w:r>
        <w:rPr>
          <w:b/>
          <w:i w:val="0"/>
          <w:sz w:val="32"/>
        </w:rPr>
        <w:t>ДОПОЛНЕНИЕ № 2</w:t>
      </w:r>
    </w:p>
    <w:p>
      <w:pPr>
        <w:spacing w:after="40"/>
        <w:jc w:val="center"/>
      </w:pPr>
      <w:r>
        <w:rPr>
          <w:b w:val="0"/>
          <w:i w:val="0"/>
          <w:sz w:val="26"/>
        </w:rPr>
        <w:t>к техническому заданию на создание автоматизированной системы</w:t>
      </w:r>
    </w:p>
    <w:p>
      <w:pPr>
        <w:spacing w:after="240"/>
        <w:jc w:val="center"/>
      </w:pPr>
      <w:r>
        <w:rPr>
          <w:b w:val="0"/>
          <w:i w:val="0"/>
          <w:sz w:val="26"/>
        </w:rPr>
        <w:t>планирования и развертывания системы связи</w:t>
      </w:r>
    </w:p>
    <w:p>
      <w:pPr>
        <w:spacing w:after="0"/>
        <w:jc w:val="center"/>
      </w:pPr>
      <w:r>
        <w:rPr>
          <w:b/>
          <w:i w:val="0"/>
          <w:sz w:val="24"/>
        </w:rPr>
        <w:t>Промышленный вычислительный сервис на базе headless-ядра ENG6:</w:t>
      </w:r>
    </w:p>
    <w:p>
      <w:pPr>
        <w:spacing w:after="0"/>
        <w:jc w:val="center"/>
      </w:pPr>
      <w:r>
        <w:rPr>
          <w:b w:val="0"/>
          <w:i w:val="0"/>
          <w:sz w:val="24"/>
        </w:rPr>
        <w:t>формализация математической модели, вычислительное ядро, слой API,</w:t>
      </w:r>
    </w:p>
    <w:p>
      <w:pPr>
        <w:spacing w:after="360"/>
        <w:jc w:val="center"/>
      </w:pPr>
      <w:r>
        <w:rPr>
          <w:b w:val="0"/>
          <w:i w:val="0"/>
          <w:sz w:val="24"/>
        </w:rPr>
        <w:t>визуальный картографический планировщик, нагрузочные испытания и инфраструктура</w:t>
      </w:r>
    </w:p>
    <w:p>
      <w:pPr>
        <w:spacing w:after="0"/>
        <w:jc w:val="center"/>
      </w:pPr>
      <w:r>
        <w:rPr>
          <w:b w:val="0"/>
          <w:i/>
          <w:sz w:val="22"/>
        </w:rPr>
        <w:t>Составлено в соответствии с ГОСТ 34.602-2020 «Информационные технологии.</w:t>
      </w:r>
    </w:p>
    <w:p>
      <w:pPr>
        <w:spacing w:after="0"/>
        <w:jc w:val="center"/>
      </w:pPr>
      <w:r>
        <w:rPr>
          <w:b w:val="0"/>
          <w:i/>
          <w:sz w:val="22"/>
        </w:rPr>
        <w:t>Комплекс стандартов на автоматизированные системы. Техническое задание</w:t>
      </w:r>
    </w:p>
    <w:p>
      <w:pPr>
        <w:spacing w:after="480"/>
        <w:jc w:val="center"/>
      </w:pPr>
      <w:r>
        <w:rPr>
          <w:b w:val="0"/>
          <w:i/>
          <w:sz w:val="22"/>
        </w:rPr>
        <w:t>на создание автоматизированной системы»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DDDDDD"/>
          </w:tcPr>
          <w:p>
            <w:r/>
            <w:r>
              <w:rPr>
                <w:b/>
                <w:sz w:val="19"/>
              </w:rPr>
              <w:t>Реквизит</w:t>
            </w:r>
          </w:p>
        </w:tc>
        <w:tc>
          <w:tcPr>
            <w:tcW w:type="dxa" w:w="6520"/>
            <w:shd w:val="clear" w:color="auto" w:fill="DDDDDD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Шифр изделия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«Планировщик связи», этап E6, релиз 8.0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Модуль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ENG6-PLAN — headless-ядро планирования и сервисная оболочка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Математическое ядро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ENG6 v5.1.0 (этап E5, релиз 7.0), 69 ключей публичной поверхности, 151 модель MLIB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Контрольная сумма ядра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sha256 adb610c9eee1ca17b257cbc6087e2278fdde3eef92f3b6a360cfb51968d48b20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Конформанс ядра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33/33 эталонные проверки selfTest, 5/5 регрессионных сценариев, 0 расхождений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Основание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Дополнение к ТЗ №1 (визуальный модуль); замечания совещательной комиссии (Военпред, Айтишник, Критик)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Исходный артефакт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comms_planner_v8.0_headless.html (2 551 730 байт, 5 скриптовых блоков)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Дата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16 октября 2026 г.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Версия документа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1.0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Назначение настоящего дополнения</w:t>
      </w:r>
    </w:p>
    <w:p>
      <w:pPr>
        <w:spacing w:after="80"/>
      </w:pPr>
      <w:r>
        <w:rPr>
          <w:b w:val="0"/>
          <w:i w:val="0"/>
          <w:sz w:val="24"/>
        </w:rPr>
        <w:t>Настоящее дополнение устанавливает требования к промышленному вычислительному сервису планирования систем связи, создаваемому на основе headless-ядра ENG6, и определяет порядок контроля их выполнения. Дополнение распространяется на пять групп требований: математическая модель и вычислительное ядро (этапы 1–2), программный интерфейс (этап 3), визуальный картографический модуль (этап 4), испытания и инфраструктура (этап 5).</w:t>
      </w:r>
    </w:p>
    <w:p>
      <w:pPr>
        <w:pStyle w:val="Heading2"/>
      </w:pPr>
      <w:r>
        <w:t>1.2. Основание для разработки и исходные данные</w:t>
      </w:r>
    </w:p>
    <w:p>
      <w:pPr>
        <w:spacing w:after="80"/>
      </w:pPr>
      <w:r>
        <w:rPr>
          <w:b w:val="0"/>
          <w:i w:val="0"/>
          <w:sz w:val="24"/>
        </w:rPr>
        <w:t>При обследовании исходного изделия comms_planner_v8.0_headless.html установлено, что файл содержит полное нативное ядро расчётов ENG6 (блок объёмом 677 168 знаков, 218 определений, публичная поверхность из 69 ключей), а также прикладной слой APPCORE6 (146 821 знак), UI-оболочку SHELL6 (239 026 знаков) и блок R52·S0 (909 858 знаков). Ранее предполагавшееся отсутствие кода алгоритма не подтвердилось.</w:t>
      </w:r>
    </w:p>
    <w:p>
      <w:pPr>
        <w:spacing w:after="80"/>
      </w:pPr>
      <w:r>
        <w:rPr>
          <w:b w:val="0"/>
          <w:i w:val="0"/>
          <w:sz w:val="24"/>
        </w:rPr>
        <w:t>Следствие для технического задания: этап 2 выполняется не «с нуля», а путём извлечения и верификации существующей математики с последующим построением поверх неё слоя оптимизации (распределение ресурсов, маршрутизация, расписание). Такое решение исключает появление второго источника истины по моделям распространения радиоволн и сохраняет преемственность с конформанс-протоколом изделия (326 050 проверок).</w:t>
      </w:r>
    </w:p>
    <w:p>
      <w:pPr>
        <w:pStyle w:val="Heading2"/>
      </w:pPr>
      <w:r>
        <w:t>1.3. Состав создаваемого сервиса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color="auto" w:fill="DDDDDD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4706"/>
            <w:shd w:val="clear" w:color="auto" w:fill="DDDDDD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2268"/>
            <w:shd w:val="clear" w:color="auto" w:fill="DDDDDD"/>
          </w:tcPr>
          <w:p>
            <w:r/>
            <w:r>
              <w:rPr>
                <w:b/>
                <w:sz w:val="19"/>
              </w:rPr>
              <w:t>Размещение в репозитории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Вычислительное ядро ENG6-PLAN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Чистая функция plan(request) → response: распределение ресурсов, маршруты, расписание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core/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Вендор ENG6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Математические модели каналов, сети, живучести; исполняется в изолированном V8-контексте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core/vendor/, core/eng6.mjs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Слой API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REST: sync/async/tasks/meta/conformance/audit/metrics, аудит, backpressure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api/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Визуальный модуль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Картографический планировщик (Дополнение №1) — single-file, без внешних ресурсов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frontend/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Нагрузочный стенд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Генератор графов 10²…10⁵ узлов, промеры времени и памяти, k6 и Locust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loadtest/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Инфраструктура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Docker (multi-stage), docker-compose, Prometheus, Grafana, манифесты Kubernetes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deploy/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Комплект тестов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125 автоматизированных проверок (109 unit + 16 conformance), включая исполнение собранного UI в jsdom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tests/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Документация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Математическая модель, архитектура, API, отчёт об испытаниях, эксплуатация, реестр дефектов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docs/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Требования к математической модели (этап 1)</w:t>
      </w:r>
    </w:p>
    <w:p>
      <w:pPr>
        <w:pStyle w:val="Heading2"/>
      </w:pPr>
      <w:r>
        <w:t>2.1. Входные данные</w:t>
      </w:r>
    </w:p>
    <w:p>
      <w:pPr>
        <w:spacing w:after="80"/>
      </w:pPr>
      <w:r>
        <w:rPr>
          <w:b w:val="0"/>
          <w:i w:val="0"/>
          <w:sz w:val="24"/>
        </w:rPr>
        <w:t>Алгоритм принимает следующие блоки (полная спецификация — раздел «Математическая модель», docs/01_MATH_MODEL.md):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b/>
                <w:sz w:val="19"/>
              </w:rPr>
              <w:t>Блок</w:t>
            </w:r>
          </w:p>
        </w:tc>
        <w:tc>
          <w:tcPr>
            <w:tcW w:type="dxa" w:w="5669"/>
            <w:shd w:val="clear" w:color="auto" w:fill="DDDDDD"/>
          </w:tcPr>
          <w:p>
            <w:r/>
            <w:r>
              <w:rPr>
                <w:b/>
                <w:sz w:val="19"/>
              </w:rPr>
              <w:t>Состав</w:t>
            </w:r>
          </w:p>
        </w:tc>
        <w:tc>
          <w:tcPr>
            <w:tcW w:type="dxa" w:w="1871"/>
            <w:shd w:val="clear" w:color="auto" w:fill="DDDDDD"/>
          </w:tcPr>
          <w:p>
            <w:r/>
            <w:r>
              <w:rPr>
                <w:b/>
                <w:sz w:val="19"/>
              </w:rPr>
              <w:t>Обязательность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topology.nodes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Позиции размещения: идентификатор, тип (КП, ретранслятор, радиостанция, спутниковая станция, наблюдатель, РЭБ/РЭР/РЛР), координаты WGS-84 (6 знаков), статус, подчинённость (ОШС), привязка к единице техники, радиопараметры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обязательно, ≥ 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topology.links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Потенциальные линии: идентификатор, концы, тип (УКВ, ДМВ, КВ, РРЛ, спутниковая, ВОЛС), частота, полоса, модуляция, FEC, приоритет, признак резервной, стоимость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обязательно (допустим пустой)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fleet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Парк техники: инвентарный номер, образец, тип узла, состояние (исправна / ограниченно пригодна / неисправна), стоимость и время развертывания, мощность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опционально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demands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Заявки на ресурсы: источник, получатель, требуемая полоса, предельная задержка, предельное число хопов, приоритет (1 — наивысший), минимальная доступность, признак защищённой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опционально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constraints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Бюджет, минимальный запас, предельные задержка и число хопов, коэффициент резервирования, число одновременных бригад, скорость марша, порог загрузки, требование резервирования, режим физики, лимит времени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опционально (дефолты заданы)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environment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Тип местности, погода, состояние ионосферы, источник рельефа, прочие потери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опционально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weights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Веса целевой функции: стоимость, задержка, живучесть, запас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опционально</w:t>
            </w:r>
          </w:p>
        </w:tc>
      </w:tr>
    </w:tbl>
    <w:p>
      <w:pPr>
        <w:spacing w:after="40"/>
      </w:pPr>
    </w:p>
    <w:p>
      <w:pPr>
        <w:pStyle w:val="Heading2"/>
      </w:pPr>
      <w:r>
        <w:t>2.2. Выходные данные</w:t>
      </w:r>
    </w:p>
    <w:p>
      <w:pPr>
        <w:spacing w:after="80"/>
      </w:pPr>
      <w:r>
        <w:rPr>
          <w:b w:val="0"/>
          <w:i w:val="0"/>
          <w:sz w:val="24"/>
        </w:rPr>
        <w:t>Алгоритм возвращает три целевых артефакта и диагностический блок:</w:t>
      </w:r>
    </w:p>
    <w:p>
      <w:pPr>
        <w:pStyle w:val="ListBullet"/>
        <w:spacing w:after="40"/>
        <w:ind w:left="425"/>
      </w:pPr>
      <w:r>
        <w:t>распределение ресурсов — развертываемые единицы техники с координатами, стоимостью, волной и временем начала работ; активированные линии с запасом, ёмкостью, загрузкой, задержкой, доступностью и стоимостью; отклонённые линии с машинным кодом причины;</w:t>
      </w:r>
    </w:p>
    <w:p>
      <w:pPr>
        <w:pStyle w:val="ListBullet"/>
        <w:spacing w:after="40"/>
        <w:ind w:left="425"/>
      </w:pPr>
      <w:r>
        <w:t>маршруты — путь каждой заявки (узлы и линии), выданная полоса, дефицит, задержка, число хопов, запас, доступность, utilization, признак резервирования и резервный путь;</w:t>
      </w:r>
    </w:p>
    <w:p>
      <w:pPr>
        <w:pStyle w:val="ListBullet"/>
        <w:spacing w:after="40"/>
        <w:ind w:left="425"/>
      </w:pPr>
      <w:r>
        <w:t>расписание развертывания — волны работ с интервалами и составом, номер бригады, суммарная длительность (makespan), критический путь, загрузка бригад, точка отсчёта марша, зафиксированные нарушения порядка;</w:t>
      </w:r>
    </w:p>
    <w:p>
      <w:pPr>
        <w:pStyle w:val="ListBullet"/>
        <w:spacing w:after="40"/>
        <w:ind w:left="425"/>
      </w:pPr>
      <w:r>
        <w:t>диагностика — статус и его причины, замечания и рекомендации, блок невыполнимости (причины, компоненты связности с центроидами, численные послабления, частичное решение), гистограмма отклонённых линий, сведения о применённых приближениях, результат перекрёстной проверки полным ядром ENG6.</w:t>
      </w:r>
    </w:p>
    <w:p>
      <w:pPr>
        <w:pStyle w:val="Heading2"/>
      </w:pPr>
      <w:r>
        <w:t>2.3. Математическая постановка</w:t>
      </w:r>
    </w:p>
    <w:p>
      <w:pPr>
        <w:spacing w:after="80"/>
      </w:pPr>
      <w:r>
        <w:rPr>
          <w:b w:val="0"/>
          <w:i w:val="0"/>
          <w:sz w:val="24"/>
        </w:rPr>
        <w:t>Задача формулируется как смешанная целочисленная задача многопродуктового потока с целочисленными активациями и расписанием работ. Переменные: x_u ∈ {0,1} — развертывание единицы техники; y_e ∈ {0,1} — активация линии; f(k,e) ≥ 0 — полоса заявки k на ребре e; z_e ∈ {0,1} — модернизация ёмкости; t_j, c_b ≥ 0 — моменты начала работ и освобождения бригад.</w:t>
      </w:r>
    </w:p>
    <w:p>
      <w:pPr>
        <w:spacing w:after="80"/>
      </w:pPr>
      <w:r>
        <w:rPr>
          <w:b w:val="0"/>
          <w:i w:val="0"/>
          <w:sz w:val="24"/>
        </w:rPr>
        <w:t>Ограничения: (1) сохранение потока для каждой заявки; (2) ёмкость ребра с учётом резервирования; (3) связь активации и потока; (4) развертывание узлов и запрет неисправной техники; (5) бюджет; (6) задержка (распространение + обработка + сериализация); (7) число ретрансляций; (8) доступность; (9) резервирование — два реберно-непересекающихся пути (теорема Менгера); (10) расписание с учётом иерархии и числа бригад.</w:t>
      </w:r>
    </w:p>
    <w:p>
      <w:pPr>
        <w:spacing w:after="80"/>
      </w:pPr>
      <w:r>
        <w:rPr>
          <w:b w:val="0"/>
          <w:i w:val="0"/>
          <w:sz w:val="24"/>
        </w:rPr>
        <w:t>Целевая функция: F = w_c·Ĉ + w_d·D̂ + w_s·(1−Ŝ) + w_m·(1−M̂) → min, где Ĉ, D̂, M̂ — нормированные стоимость, задержка и запас, Ŝ — живучесть. Значение F приводится к оценке A…F. Задача содержит как частные случаи задачу Штейнера, 0/1-рюкзак и R|prec|Cmax, являющиеся NP-трудными, поэтому решается декомпозицией на 11 фаз с документированными границами приближения.</w:t>
      </w:r>
    </w:p>
    <w:p>
      <w:pPr>
        <w:pStyle w:val="Heading2"/>
      </w:pPr>
      <w:r>
        <w:t>2.4. Статусная модель и поведение на граничных случаях</w:t>
      </w:r>
    </w:p>
    <w:p>
      <w:pPr>
        <w:spacing w:after="80"/>
      </w:pPr>
      <w:r>
        <w:rPr>
          <w:b w:val="0"/>
          <w:i w:val="0"/>
          <w:sz w:val="24"/>
        </w:rPr>
        <w:t>Обязательное требование (замечание Критика): при невозможности построить полное решение алгоритм не аварийно завершается, а возвращает соответствующий статус и частичное решение с численными рекомендациями по послаблению ограничений.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DDDDDD"/>
          </w:tcPr>
          <w:p>
            <w:r/>
            <w:r>
              <w:rPr>
                <w:b/>
                <w:sz w:val="19"/>
              </w:rPr>
              <w:t>Ситуация</w:t>
            </w:r>
          </w:p>
        </w:tc>
        <w:tc>
          <w:tcPr>
            <w:tcW w:type="dxa" w:w="4819"/>
            <w:shd w:val="clear" w:color="auto" w:fill="DDDDDD"/>
          </w:tcPr>
          <w:p>
            <w:r/>
            <w:r>
              <w:rPr>
                <w:b/>
                <w:sz w:val="19"/>
              </w:rPr>
              <w:t>Требуемое поведение</w:t>
            </w:r>
          </w:p>
        </w:tc>
        <w:tc>
          <w:tcPr>
            <w:tcW w:type="dxa" w:w="2268"/>
            <w:shd w:val="clear" w:color="auto" w:fill="DDDDDD"/>
          </w:tcPr>
          <w:p>
            <w:r/>
            <w:r>
              <w:rPr>
                <w:b/>
                <w:sz w:val="19"/>
              </w:rPr>
              <w:t>Машинные коды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Сеть несвязна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Статус PARTIAL/INFEASIBLE; перечень компонент с составом, размерами и центроидами; предложение точек установки ретрансляторов с пролётом и требуемой ЭИИМ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NET_DISCONNECTED, ADD_RELAY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Заявок больше, чем ёмкости каналов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Статус PARTIAL; дефицит по каждой заявке; узкие места с требуемым приростом ёмкости; модернизация каналов за остаток бюджета (0/1-рюкзак)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CAPACITY_SHORTAGE, ADD_CAPACITY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Бюджета недостаточно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Обслуживание в порядке приоритета (1 — наивысший); точная недостающая сумма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BUDGET_EXCEEDED, RAISE_BUDGET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Техники меньше, чем узлов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Узлы без техники исключаются; заявки к ним отклоняются; дефицит по типам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UNIT_SHORTAGE, UNIT_NOT_READY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Задержка недостижима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Отказ с указанием минимально достаточного лимита задержки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DELAY_EXCEEDED, RELAX_MAX_DELAY_MS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Нет линий / все отбракованы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INFEASIBLE с гистограммой причин отбраковки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NO_LINKS, NO_FEASIBLE_LINK, BELOW_MARGIN, OUT_OF_RANGE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Некорректный вход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INVALID до выделения памяти; перечень ошибок с JSON-путями (не более 100)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REQUIRED, TYPE, RANGE, ENUM, DUPLICATE, REF, LIMIT, CROSS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Превышены лимиты экземпляра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Отказ до построения таблиц (защита от OutOfMemory)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LIMIT_NODES, LIMIT_LINKS, LIMIT_DEMANDS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Исчерпан лимит времени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TIMEOUT с уже построенным частичным планом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TIME_LIMIT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Внутреннее исключение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ERROR с кодом и записью в журнал аудита; процесс и другие задачи не затрагиваются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CORE_EXCEPTION</w:t>
            </w:r>
          </w:p>
        </w:tc>
      </w:tr>
    </w:tbl>
    <w:p>
      <w:pPr>
        <w:spacing w:after="40"/>
      </w:pPr>
    </w:p>
    <w:p>
      <w:pPr>
        <w:pStyle w:val="Heading2"/>
      </w:pPr>
      <w:r>
        <w:t>2.5. Детерминированность</w:t>
      </w:r>
    </w:p>
    <w:p>
      <w:pPr>
        <w:spacing w:after="80"/>
      </w:pPr>
      <w:r>
        <w:rPr>
          <w:b w:val="0"/>
          <w:i w:val="0"/>
          <w:sz w:val="24"/>
        </w:rPr>
        <w:t>Одинаковый вход обязан давать побайтово одинаковый выход. Обеспечивается полным тай-брейком сортировок (приоритет → полоса → идентификатор), отсутствием генератора случайных чисел в маршрутизации и исключением меток времени из ответа. Проверяется автоматизированным тестом.</w:t>
      </w:r>
    </w:p>
    <w:p>
      <w:r>
        <w:br w:type="page"/>
      </w:r>
    </w:p>
    <w:p>
      <w:pPr>
        <w:pStyle w:val="Heading1"/>
      </w:pPr>
      <w:r>
        <w:t>3. Требования к вычислительному ядру (этап 2)</w:t>
      </w:r>
    </w:p>
    <w:p>
      <w:pPr>
        <w:pStyle w:val="Heading2"/>
      </w:pPr>
      <w:r>
        <w:t>3.1. Изолированность (замечание Айтишника)</w:t>
      </w:r>
    </w:p>
    <w:p>
      <w:pPr>
        <w:spacing w:after="80"/>
      </w:pPr>
      <w:r>
        <w:rPr>
          <w:b w:val="0"/>
          <w:i w:val="0"/>
          <w:sz w:val="24"/>
        </w:rPr>
        <w:t>Ядро должно быть изолированным: никаких зависимостей от базы данных или сети внутри алгоритма; чистая функция «входные данные → математика → выходные данные».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5613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b/>
                <w:sz w:val="19"/>
              </w:rPr>
              <w:t>Способ проверки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Я-01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Ядро не импортирует сетевые, процессные и БД-модули (node:net, node:http, node:https, node:child_process, node:worker_threads, pg, redis, mongodb, amqplib, kafkajs и сторонние пакеты)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Статическое сканирование импортов в tests/conformance/isolation.test.mjs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Я-02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Ядро не обращается к process.env, кроме флага отладки ENG6_STRICT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Там же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Я-03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Ядро не выполняет запись на диск; node:fs допустим только для чтения вендора в core/eng6.mjs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Там же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Я-04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Вендор ENG6 исполняется в отдельном V8-контексте; обращение к document, fetch, localStorage, XMLHttpRequest, WebSocket, navigator вызывает ENG6_ISOLATION_VIOLATION; indexedDB = undefined; codeGeneration (eval/Function) отключён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Динамический tripwire-тест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Я-05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plan() не мутирует входной запрос и не оставляет глобального состояния между вызовами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Тесты «не мутирует вход», «не оставляет глобального состояния»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Я-06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Результат сериализуется в JSON без потерь (нет циклических ссылок, функций, undefined)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Тест сериализуемости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Я-07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Контрольная сумма вендора фиксируется в репозитории и проверяется при каждой сборке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tests/conformance/eng6.test.mjs, deploy/Dockerfile</w:t>
            </w:r>
          </w:p>
        </w:tc>
      </w:tr>
    </w:tbl>
    <w:p>
      <w:pPr>
        <w:spacing w:after="40"/>
      </w:pPr>
    </w:p>
    <w:p>
      <w:pPr>
        <w:pStyle w:val="Heading2"/>
      </w:pPr>
      <w:r>
        <w:t>3.2.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8447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Я-08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Реализовать класс/модуль Eng6Planner с методом plan(request) и статическим методом describe()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Я-09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Реализовать графовые алгоритмы: CSR-представление с парными дугами, двоичная куча на типизированных массивах, Дейкстра с ранним выходом, ограниченный по ресурсу кратчайший путь (RCSP), BFS, компоненты связности, мосты и точки сочленения (Tarjan, итеративно), минимальное остовное дерево (Kruskal), приближение задачи Штейнера (2-аппроксимация на метрическом замыкании), максимальный поток (Dinic), минимальный разрез, два реберно-непересекающихся пути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Я-10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Реализовать физический уровень в двух режимах: fast (аналитический, на примитивах ENG6) и full (дословный вызов ENG6.calcLink с профилем рельефа и цепочкой моделей); автоматическое переключение по числу рёбер с фиксацией понижения режима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Я-11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Реализовать целочисленное распределение бюджета: 0/1-рюкзак точным динамическим программированием при числе ячеек ≤ 4·10⁶, иначе жадность по плотности с локальным улучшением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Я-12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Реализовать расписание развертывания: списковое приоритетное расписание с учётом иерархии ОШС, времени марша и ограничения числа одновременных бригад; разбиение на волны; выделение критического пути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Я-13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Реализовать строгую валидацию входа со стабильными машинными кодами и JSON-путями, ограничением числа возвращаемых ошибок и второй линией обороны через штатные валидаторы ENG6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Я-14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Обеспечить перекрёстную проверку построенного плана полным ядром ENG6 (analyzeScenario) с вердиктом CONSISTENT / DEGRADED / REJECTED_BY_ENG6 и защитой по размеру экземпляра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Я-15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Написать unit-тесты на эталонных малых графах (5–10 узлов) с заранее известным ответом, включая сверку графовых метрик с ENG6.NET</w:t>
            </w:r>
          </w:p>
        </w:tc>
      </w:tr>
    </w:tbl>
    <w:p>
      <w:pPr>
        <w:spacing w:after="40"/>
      </w:pPr>
    </w:p>
    <w:p>
      <w:pPr>
        <w:pStyle w:val="Heading2"/>
      </w:pPr>
      <w:r>
        <w:t>3.3. Требования к производительности и памяти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5329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3118"/>
            <w:shd w:val="clear" w:color="auto" w:fill="DDDDDD"/>
          </w:tcPr>
          <w:p>
            <w:r/>
            <w:r>
              <w:rPr>
                <w:b/>
                <w:sz w:val="19"/>
              </w:rPr>
              <w:t>Подтверждено замером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Я-16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Расчёт графа 1 000 узлов / 3 565 рёбер / 20 заявок — не более 0,5 с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202 мс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Я-17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Расчёт графа 10 000 узлов / 35 320 рёбер / 200 заявок — не более 3 с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1 196 мс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Я-18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Расчёт графа 100 000 узлов / 352 889 рёбер / 2 000 заявок — не более 90 с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47,3 с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Я-19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Потребление памяти на графе 100 000 узлов — не более 1 ГБ RSS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434 МБ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Я-20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Отсутствие деградации из-за рекурсии: все обходы графа итеративные (DFS, Tarjan, Dinic)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Тест на 10⁵ узлов проходит без переполнения стека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Я-21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Режим full (ENG6.calcLink) автоматически отключается выше 20 000 рёбер с фиксацией в замечаниях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Тест автопереключения physics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Требования к слою API (этап 3)</w:t>
      </w:r>
    </w:p>
    <w:p>
      <w:pPr>
        <w:pStyle w:val="Heading2"/>
      </w:pPr>
      <w:r>
        <w:t>4.1. 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2948"/>
            <w:shd w:val="clear" w:color="auto" w:fill="DDDDDD"/>
          </w:tcPr>
          <w:p>
            <w:r/>
            <w:r>
              <w:rPr>
                <w:b/>
                <w:sz w:val="19"/>
              </w:rPr>
              <w:t>Эндпоинт</w:t>
            </w:r>
          </w:p>
        </w:tc>
        <w:tc>
          <w:tcPr>
            <w:tcW w:type="dxa" w:w="5499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A-01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POST /api/v1/plan/sync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Синхронный расчёт для быстрых задач; коды 200 (результат), 400, 401, 413, 422 (вход отклонён валидатором), 429, 500, 503, 504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A-02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POST /api/v1/plan/async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Постановка тяжёлой задачи в очередь; немедленный ответ 202 с заголовком Location, идентификатором задачи, позицией в очереди и оценкой ожидания; 429 при переполнении очереди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A-03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GET /api/v1/tasks/{id}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Статус задачи (QUEUED/RUNNING/SUCCEEDED/FAILED/TIMEOUT/CANCELLED), времена ожидания и расчёта, идентификатор воркера, размер результата, сам результат; поддержка X-Result-Format: summary; 404 при удалении по TTL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A-04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GET /api/v1/tasks, DELETE /api/v1/tasks/{id}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Список задач со счётчиками по состояниям; отмена задачи в очереди (409 для выполняющейся)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A-05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GET /api/v1/meta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Контракт сервиса: версия, ядро ENG6 с sha256, лимиты, состояние пула, параметры rate limit, перечень эндпоинтов и требуемые заголовки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A-06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GET /api/v1/conformance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Протокол конформанса ядра ENG6 (33 эталонные проверки + 5 регрессионных сценариев) с возможностью принудительного обновления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A-07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GET /api/v1/audit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Журнал аудита с фильтрами; в production — только при включённой аутентификации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A-08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GET /metrics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Метрики в формате Prometheus text exposition 0.0.4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A-09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GET /healthz, GET /readyz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Liveness (состояние пула и память) и readiness (503, если воркеры не готовы либо очередь переполнена)</w:t>
            </w:r>
          </w:p>
        </w:tc>
      </w:tr>
    </w:tbl>
    <w:p>
      <w:pPr>
        <w:spacing w:after="40"/>
      </w:pPr>
    </w:p>
    <w:p>
      <w:pPr>
        <w:pStyle w:val="Heading2"/>
      </w:pPr>
      <w:r>
        <w:t>4.2. Валидация и защита от отказа (замечание Айтишника: «некорректный граф не должен повесить ядро»)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8447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A-10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Валидация входных данных на уровне схемы (аналог Pydantic/Protobuf): типы, диапазоны, перечисления, уникальность идентификаторов, целостность ссылок, кросс-проверки; каждая ошибка имеет стабильный код и JSON-путь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A-11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Ограничение размера тела запроса с отклонением до накопления в памяти (413)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A-12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Ограничение числа узлов, рёбер и заявок экземпляра задачи с отклонением до выделения памяти (422)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A-13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Ограничение числа возвращаемых ошибок валидации (защита от раздувания ответа) с признаком усечения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A-14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Вторая линия обороны: собранный сценарий дополнительно проверяется штатными валидаторами ENG6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A-15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Ни один сценарий поведения клиента не должен приводить к кодам 5xx; исключение в математике возвращает 500 с кодом CORE_EXCEPTION и записью в аудит</w:t>
            </w:r>
          </w:p>
        </w:tc>
      </w:tr>
    </w:tbl>
    <w:p>
      <w:pPr>
        <w:spacing w:after="40"/>
      </w:pPr>
    </w:p>
    <w:p>
      <w:pPr>
        <w:pStyle w:val="Heading2"/>
      </w:pPr>
      <w:r>
        <w:t>4.3. Управление нагрузкой (замечание Критика)</w:t>
      </w:r>
    </w:p>
    <w:p>
      <w:pPr>
        <w:spacing w:after="80"/>
      </w:pPr>
      <w:r>
        <w:rPr>
          <w:b w:val="0"/>
          <w:i w:val="0"/>
          <w:sz w:val="24"/>
        </w:rPr>
        <w:t>Требуется: при поступлении большого числа одновременных тяжёлых запросов сервис не падает, а ставит задачи в очередь и честно отрабатывает их, возвращая 429 Too Many Requests либо 202 Accepted. Реализовано четыре рубежа защиты: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DDDDDD"/>
          </w:tcPr>
          <w:p>
            <w:r/>
            <w:r>
              <w:rPr>
                <w:b/>
                <w:sz w:val="19"/>
              </w:rPr>
              <w:t>Рубеж</w:t>
            </w:r>
          </w:p>
        </w:tc>
        <w:tc>
          <w:tcPr>
            <w:tcW w:type="dxa" w:w="4762"/>
            <w:shd w:val="clear" w:color="auto" w:fill="DDDDDD"/>
          </w:tcPr>
          <w:p>
            <w:r/>
            <w:r>
              <w:rPr>
                <w:b/>
                <w:sz w:val="19"/>
              </w:rPr>
              <w:t>Механизм</w:t>
            </w:r>
          </w:p>
        </w:tc>
        <w:tc>
          <w:tcPr>
            <w:tcW w:type="dxa" w:w="2551"/>
            <w:shd w:val="clear" w:color="auto" w:fill="DDDDDD"/>
          </w:tcPr>
          <w:p>
            <w:r/>
            <w:r>
              <w:rPr>
                <w:b/>
                <w:sz w:val="19"/>
              </w:rPr>
              <w:t>Ответ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1. Частота запросов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Token bucket на клиента (API-ключ или адрес); тяжёлые графы тарифицируются с весом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429 RATE_LIMITED + Retry-After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2. Синхронные слоты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Семафор на ENG6_MAX_SYNC_CONCURRENCY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429 SYNC_BUSY + подсказка «suggest: POST /api/v1/plan/async»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3. Длина очереди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Ограниченная FIFO-очередь ENG6_MAX_QUEUE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429 QUEUE_FULL + Retry-After + queueLength/maxQueue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4. Память «в полёте»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Суммарный объём тел запросов в обработке (по Content-Length до чтения тела)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503 MEMORY_BACKPRESSURE + Retry-After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4"/>
        </w:rPr>
        <w:t>Четвёртый рубеж введён по результатам нагрузочных испытаний: 100 одновременных запросов по 2,3 МБ приводили к исчерпанию памяти и гибели процесса при неполной очереди (дефект DEF-04).</w:t>
      </w:r>
    </w:p>
    <w:p>
      <w:pPr>
        <w:pStyle w:val="Heading2"/>
      </w:pPr>
      <w:r>
        <w:t>4.4. Аудит (замечание Военпреда)</w:t>
      </w:r>
    </w:p>
    <w:p>
      <w:pPr>
        <w:spacing w:after="80"/>
      </w:pPr>
      <w:r>
        <w:rPr>
          <w:b w:val="0"/>
          <w:i w:val="0"/>
          <w:sz w:val="24"/>
        </w:rPr>
        <w:t>Каждый запуск алгоритма подлежит регистрации. Запись журнала содержит: момент времени, событие, режим (sync/async), идентификатор задачи, заказчика расчёта (X-Requestor), идентификатор клиента, идентификатор запроса, SHA-256 канонического JSON входных данных, размер входа, размеры графа (узлы/рёбра/заявки), время старта и завершения, длительность расчёта, время ожидания в очереди, идентификатор воркера, статус результата, размер результата, HTTP-код, версию сервиса, окружение и идентификатор процесса.</w:t>
      </w:r>
    </w:p>
    <w:p>
      <w:pPr>
        <w:spacing w:after="80"/>
      </w:pPr>
      <w:r>
        <w:rPr>
          <w:b w:val="0"/>
          <w:i w:val="0"/>
          <w:sz w:val="24"/>
        </w:rPr>
        <w:t>Тела запросов не логируются — фиксируется только контрольная сумма, поскольку координаты размещения узлов связи являются охраняемыми данными. Полное логирование включается отдельным флагом только для отладки. Журнал — append-only NDJSON плюс кольцевой буфер для быстрого доступа через API; отказ диска не останавливает расчёты и фиксируется счётчиком ошибок записи.</w:t>
      </w:r>
    </w:p>
    <w:p>
      <w:r>
        <w:br w:type="page"/>
      </w:r>
    </w:p>
    <w:p>
      <w:pPr>
        <w:pStyle w:val="Heading1"/>
      </w:pPr>
      <w:r>
        <w:t>5. Требования к визуальному картографическому планировщику (этап 4)</w:t>
      </w:r>
    </w:p>
    <w:p>
      <w:pPr>
        <w:spacing w:after="80"/>
      </w:pPr>
      <w:r>
        <w:rPr>
          <w:b w:val="0"/>
          <w:i w:val="0"/>
          <w:sz w:val="24"/>
        </w:rPr>
        <w:t>Требования настоящего раздела соответствуют Дополнению к ТЗ №1 и приведены с указанием способа реализации в созданном модуле (frontend/index.html, единый файл без внешних ресурсов).</w:t>
      </w:r>
    </w:p>
    <w:p>
      <w:pPr>
        <w:pStyle w:val="Heading2"/>
      </w:pPr>
      <w:r>
        <w:t>5.1. Компоновка рабочего пространства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№ ТЗ</w:t>
            </w:r>
          </w:p>
        </w:tc>
        <w:tc>
          <w:tcPr>
            <w:tcW w:type="dxa" w:w="3969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4252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FR-UI-01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Рабочее пространство разделяется на две зоны: интерактивная геоподложка (≈80 % ширины) и сворачиваемая правая панель «ОШС и Ресурсы» (≈20 %)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Flex-компоновка #mapzone (80 %) и #rightpanel (20 %, min 280 px, max 460 px); сворачивание кнопкой «⇥ Панель» с пересчётом размеров холста; на экранах уже 1080 px панель переходит в режим наложения</w:t>
            </w:r>
          </w:p>
        </w:tc>
      </w:tr>
    </w:tbl>
    <w:p>
      <w:pPr>
        <w:spacing w:after="40"/>
      </w:pPr>
    </w:p>
    <w:p>
      <w:pPr>
        <w:pStyle w:val="Heading2"/>
      </w:pPr>
      <w:r>
        <w:t>5.2. Панель ОШС и ресурсы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№ ТЗ</w:t>
            </w:r>
          </w:p>
        </w:tc>
        <w:tc>
          <w:tcPr>
            <w:tcW w:type="dxa" w:w="3969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4252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FR-RES-01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Интерактивное дерево организационно-штатной структуры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Дерево #oshTree с раскрытием/сворачиванием по клику, состоянием раскрытия в памяти вкладки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FR-RES-02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Структура: подразделение (рота/взвод) → отделение/расчёт → единица техники → образцы оборудования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Уровни unit → squad/platoon → vehicle → equipment; оборудование раскрывается в карточке единицы техники (вкладка «Состав оборудования»)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FR-RES-03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Индикатор состояния: 🟢 исправна, 🟡 ограниченно пригодна, 🔴 неисправна; неисправная техника не размещается на карте либо размещается с предупреждением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Цветной индикатор у каждой строки дерева; 🔴 исключает перетаскивание (draggable=false) и запрещает размещение в ядре (UNIT_NOT_READY); 🟡 размещается с деградацией тракта −3 дБ и предупреждением UNIT_DEGRADED; состояние переключается из контекстного меню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FR-RES-04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Поиск и фильтрация по типу связи (КВ, УКВ, РТ, спутниковая), назначению и состоянию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Поле поиска по инвентарному номеру, образцу, подразделению; фильтры «диапазон» (КВ/УКВ/РТ/СПУТНИК/ВОЛС — определяется по образцу техники) и «состояние»; счётчик «показано / в парке / размещено»</w:t>
            </w:r>
          </w:p>
        </w:tc>
      </w:tr>
    </w:tbl>
    <w:p>
      <w:pPr>
        <w:spacing w:after="40"/>
      </w:pPr>
    </w:p>
    <w:p>
      <w:pPr>
        <w:pStyle w:val="Heading2"/>
      </w:pPr>
      <w:r>
        <w:t>5.3. Картографический модуль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№ ТЗ</w:t>
            </w:r>
          </w:p>
        </w:tc>
        <w:tc>
          <w:tcPr>
            <w:tcW w:type="dxa" w:w="3969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4252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Перенос единицы техники из правой панели на геоподложку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HTML5 drag-and-drop из дерева на холст с определением координат через обратную проекцию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При перетаскивании отображаются «призрак» и тактический знак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Элемент #dragGhost с canvas-отрисовкой тактического знака типа техники, подсветка рамки (зелёная/красная) и предварительный знак на карте под курсором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Создание объекта, жёстко связанного с записью в БД (CommAsset); изменение координат обновляет geo_position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Объект карты хранит unitId (связь с парком техники) и координаты с 6 знаками; перемещение фиксируется в журнале, запускает формирование пакета и пересчёт (FR-INT-02); в промышленной интеграции координаты сохраняются в БД заказчика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Группирование нескольких аппаратных в единый логический и визуальный объект «Узел связи»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Инструмент «⌘ Узел связи» и пункт контекстного меню: выделение ≥ 2 объектов (рамкой или с Shift) → создание узла связи в центроиде, подчинённые получают groupId, внутренние линии сворачиваются; ядро трактует узел связи как агрегат, не потребляющий дополнительную единицу техники (дефект DEF-07 устранён)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Единый тактический знак узла связи согласно утвержденным справочникам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Знак «Узел связи»: рамка с символом молнии и счётчиком входящих средств; остальные знаки — КП, ретранслятор, радиостанция, спутниковая станция, наблюдательный пост, РЭБ/РЛР/РЭР, кластер подразделения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Инструмент «карандаш/линия» для соединения узлов и станций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Инструмент «✎ Линия» (клавиша L): последовательный выбор двух объектов, пунктирный предпросмотр с текущей длиной в км, автоматический выбор типа линии по дальности (ВОЛС ≤ 12 км, УКВ ≤ 25, ДМВ ≤ 45, РРЛ ≤ 90, иначе спутниковая), защита от дублей и петель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Автоматическая генерализация знаков при изменении масштаба: крупный — все единицы техники, средний — слияние в знак «Узел связи», мелкий — кластеризация в знак «Подразделение связи»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Три уровня: z ≥ 12 — detail (все объекты раздельно, подписи, ориентация); 8 ≤ z &lt; 12 — node (машины узла связи сливаются в единый знак со счётчиком); z &lt; 8 — unit (кластеризация сеткой 78 px по принадлежности к подразделению); текущий уровень выводится в строке состояния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FR-MAP-08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Генерализация не приводит к потере данных: клик по генерализованному знаку показывает список вложенных объектов либо автоматически увеличивает масштаб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Одинарный клик по кластеру: при ≤ 6 объектах — контекстный список вложенных с переходом к каждому; иначе — автоматическое вписывание и переход на уровень раздельного отображения; двойной клик — раскрытие списка в любом случае; данные не удаляются, меняется только способ отрисовки</w:t>
            </w:r>
          </w:p>
        </w:tc>
      </w:tr>
    </w:tbl>
    <w:p>
      <w:pPr>
        <w:spacing w:after="40"/>
      </w:pPr>
    </w:p>
    <w:p>
      <w:pPr>
        <w:pStyle w:val="Heading2"/>
      </w:pPr>
      <w:r>
        <w:t>5.4. Контекстное меню и детализация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№ ТЗ</w:t>
            </w:r>
          </w:p>
        </w:tc>
        <w:tc>
          <w:tcPr>
            <w:tcW w:type="dxa" w:w="3969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4252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FR-CTX-01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Контекстное меню по правой кнопке мыши на любом объекте (техника, узел связи, линия)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ПКМ на объекте, линии, кластере и свободной области карты — четыре варианта меню; закрытие по клику вне меню и по потере фокуса окна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FR-CTX-02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Пункт «Свойства / Детализация» открывает окно с тремя вкладками: состав оборудования, личный состав, техническое состояние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Карточка объекта с вкладками: «Состав оборудования» (общие сведения + таблица аппаратуры: наименование, инвентарный номер, назначение, ТТХ), «Личный состав» (звание, ФИО, должность, позывной, контакт), «Техническое состояние» (статус, процент износа с индикатором, комплект ЗИП, даты последнего и следующего ТО, наработка, журнал неисправностей), плюс четвёртая вкладка «Расчёт ENG6» с ролью объекта в плане</w:t>
            </w:r>
          </w:p>
        </w:tc>
      </w:tr>
    </w:tbl>
    <w:p>
      <w:pPr>
        <w:spacing w:after="40"/>
      </w:pPr>
    </w:p>
    <w:p>
      <w:pPr>
        <w:pStyle w:val="Heading2"/>
      </w:pPr>
      <w:r>
        <w:t>5.5. Информационная модель и интеграция с ядром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№ ТЗ</w:t>
            </w:r>
          </w:p>
        </w:tc>
        <w:tc>
          <w:tcPr>
            <w:tcW w:type="dxa" w:w="3969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4252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FR-INT-01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Геоподложка и панель ОШС — «витрина»; перемещения фиксируются в БД (map_object, node_group, link_line)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Состояние планировщика соответствует таблицам: объекты карты ↔ map_object, узлы связи ↔ node_group, линии ↔ link_line, парк техники ↔ CommAsset; выгрузка состояния в JSON выполняется явным действием пользователя (Экспорт), что позволяет коннектору сохранять его в БД заказчика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FR-INT-02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При любом изменении топологии Frontend формирует JSON-пакет с координатами WGS-84, типами антенн и мощностями и отправляет его в ядро через gRPC/REST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Функция buildRequest() формирует пакет ENG6-PLAN; отправка через POST /api/v1/plan/sync (либо /plan/async для тяжёлых задач) с дебаунсом 900 мс после изменения; в пакете — координаты с 6 знаками, мощности, усиления, чувствительность, высота подвеса, частоты, потери фидера, шум-фактор, подвижность, стоимости и время развертывания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FR-INT-03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Ядро возвращает данные для отрисовки оверлеев (зоны покрытия, цветные линии качества связи)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applyPlanToState() накладывает результат: полупрозрачные зоны покрытия (радиус по максимальному активному направлению), цвет линий по запасу (≥ 20 дБ зелёный, 10…20 светло-зелёный, 3…10 жёлтый, 0…3 оранжевый, &lt; 0 красный, отклонённые — серый пунктир), толщина по ёмкости, подписи «тип · запас · загрузка», маршруты заявок (основной — синий, резервный — зелёный) с подсветкой выбранной заявки, маркеры развертывания у объектов, панели метрик, замечаний, рекомендаций, расписания и живучести</w:t>
            </w:r>
          </w:p>
        </w:tc>
      </w:tr>
    </w:tbl>
    <w:p>
      <w:pPr>
        <w:spacing w:after="40"/>
      </w:pPr>
    </w:p>
    <w:p>
      <w:pPr>
        <w:pStyle w:val="Heading2"/>
      </w:pPr>
      <w:r>
        <w:t>5.6. Путь А: коннектор к внешней ERP/CRM/системе диспетчеризации</w:t>
      </w:r>
    </w:p>
    <w:p>
      <w:pPr>
        <w:spacing w:after="80"/>
      </w:pPr>
      <w:r>
        <w:rPr>
          <w:b w:val="0"/>
          <w:i w:val="0"/>
          <w:sz w:val="24"/>
        </w:rPr>
        <w:t>Помимо картографического интерфейса (Путь Б) реализуется программный коннектор (integrations/erp_connector.mjs), обеспечивающий автоматический цикл «учётная система → ядро ENG6-PLAN → система диспетчеризации» без участия оператора.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2608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К-01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Забор данных из внешней системы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Три формата источника: готовый запрос ENG6-PLAN; «сырая» модель ERP (sites, assets, circuits, orders) с маппингом типов объектов, видов линий и состояний техники; CSV-выгрузки (секции [nodes]/[links], разделители «запятая», «точка с запятой», TAB, русские заголовки)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К-02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Передача в ядро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REST-клиент: режим auto (мелкие задачи — sync, крупные — async с опросом), повторы с экспоненциальной паузой, учёт Retry-After при 429/503, обязательный заголовок X-Requestor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К-03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Возврат результата в систему диспетчеризации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Плоские таблицы, готовые к загрузке в БД: map_object, link_line, link_rejected, route, deployment_wave, schedule_summary, survivability, actions_required, issues, recommendations, metrics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К-04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Контроль достоверности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Перед расчётом проверяются доступность ядра и конформанс ENG6 (33+5); при непройденном конформансе — предупреждение о недостоверности результатов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К-05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Корректность при отсутствии рельефа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Если источник не передал данные о местности, применяется плоская модель с предупреждением: синтетический рельеф создаёт вымышленные возвышенности и фиктивные дифракционные потери до 40 дБ (дефект DEF-12)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К-06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Пригодность к автоматизации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Коды возврата: 0 — план построен, 2 — план невыполним (INFEASIBLE/TIMEOUT), 3 — сбой интеграции; структурированный журнал в stdout (JSON-строки); ключ --dump-request для контроля собранного пакета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3628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4479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 и способ проверки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Рендеринг геоподложки и до 1000 тактических знаков без «фризов», не менее 30 FPS; рекомендуется WebGL-ускорение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Canvas2D с батчингом, кэш слоя рельефа (перерисовка только при смене ключа «zoom/центр/местность»), рендер рельефа с шагом 4 px и масштабированием, отсечение невидимых объектов, перерисовка по флагу «грязно» в requestAnimationFrame. Встроенный счётчик FPS, числа знаков и времени кадра выводится в интерфейсе и логирует предупреждение при падении ниже 30 FPS. WebGL не потребовался; библиотеки OpenLayers/Deck.gl не используются осознанно (NFR-02). ПОДТВЕРЖДЕНО в реальном headless-Chrome (scripts/ui_screenshot.mjs): 1011 знаков в кадре — 60 FPS, кадр 39,6 мс; на крупном масштабе 147 знаков раздельно — 60 FPS, кадр 43,6 мс; ошибок консоли 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Запрещено кэшировать координаты в локальном хранилище браузера; передача только по защищённому каналу (TLS)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В исходнике UI отсутствуют обращения к localStorage, sessionStorage, indexedDB, document.cookie и WebSQL — проверяется автоматизированным сканированием; состояние живёт только в памяти вкладки. Внешние ресурсы не загружаются (нет src/href на http(s), нет @import, нет динамического создания скриптов) — проверяется тестом самодостаточности сборки. Сервер отдаёт Cache-Control: no-store, Pragma: no-cache, X-Frame-Options: DENY, nosniff, no-referrer и CSP default-src none с connect-src self. Конфигурация production без TLS не запускается (fail-fast)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Координаты хранятся и передаются с точностью до 6 знаков после запятой (до ~10 см)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Функция round6() применяется при размещении, перемещении, формировании пакета для ядра и в ответе ядра; проверяется тестами (в том числе на 1000 случайных значений) и тестом контракта ответа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NFR-04 (введ.)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Детерминированность: одинаковый вход — побайтово одинаковый выход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Полный тай-брейк сортировок, отсутствие ГСЧ в маршрутизации, исключение меток времени из ответа (в том числе из блока перекрёстной проверки ENG6); проверяется тестом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NFR-05 (введ.)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Воспроизводимость конформанса вендорного ядра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Контрольная сумма вендора фиксируется и проверяется; 33 эталонные проверки selfTest и 5 регрессионных сценариев выполняются при каждой сборке образа — непройденный конформанс блокирует сборку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NFR-06 (введ.)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Отказоустойчивость под нагрузкой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Четыре рубежа backpressure; таймаут задачи с принудительным завершением и пересозданием воркера; адаптивный лимит кучи воркера; перезапуск воркера после N задач; graceful shutdown по SIGTERM; подтверждено шквал-тестом (60 одновременных тяжёлых задач, 0 падений)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NFR-07 (введ.)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Наблюдаемость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Метрики Prometheus (время расчёта, длина очереди, ожидание, загрузка пула, размеры графов, статусы, коды HTTP, память, перезапуски, объёмы запросов и результатов), дашборд из 22 панелей, 10 алертов, структурированный журнал аудита и heartbeat в stdout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NFR-08 (введ.)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Портативность развертывания</w:t>
            </w:r>
          </w:p>
        </w:tc>
        <w:tc>
          <w:tcPr>
            <w:tcW w:type="dxa" w:w="4479"/>
          </w:tcPr>
          <w:p>
            <w:r/>
            <w:r>
              <w:rPr>
                <w:sz w:val="19"/>
              </w:rPr>
              <w:t>Ноль внешних зависимостей; multi-stage Docker-образ с тестами внутри сборки, non-root, read-only root FS, сброшенные capabilities; манифесты Kubernetes с HPA по длине очереди, PDB, NetworkPolicy (egress только DNS), ServiceMonitor и Ingress с TLS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Требования к испытаниям и инфраструктуре (этап 5)</w:t>
      </w:r>
    </w:p>
    <w:p>
      <w:pPr>
        <w:pStyle w:val="Heading2"/>
      </w:pPr>
      <w:r>
        <w:t>7.1. Нагрузочные испытания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3061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И-01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Скрипт генерирует случайные графы связи от 100 до 100 000 узлов и «бомбит» ими API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loadtest/run_load.mjs (нативный стенд, без зависимостей, три фазы: core/api/burst), loadtest/k6_comms_planner.js (профили smoke/load/stress/burst), loadtest/locustfile.py. Генератор — случайная географическая топология с kNN-связностью через сеточную корзину, детерминирован по seed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И-02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Замер потребления RAM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Фаза A: RSS/heap до и после каждого размера графа; фаза B/C: память сервиса через /healthz и метрику eng6_process_memory_rss_bytes. Результаты — в loadtest/results/*.json и docs/04_TEST_REPORT.md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И-03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Замер времени отклика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Раздельно: клиентская латентность (p50/p90/p95/p99), серверное время расчёта из заголовка X-Compute-Ms, время ожидания слота X-Queue-Wait-Ms, фазовая структура timings внутри ядра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И-05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Визуальный контроль интерфейса и замер FPS в реальном браузере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scripts/ui_screenshot.mjs: 9 скриншотов (рабочее пространство, живой расчёт, 3 вкладки карточки, генерализация, 1000 знаков, крупный масштаб), контроль ошибок консоли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И-04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Проверка поведения при 100 одновременных тяжёлых запросах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Фаза C: шквал async (ожидание 202 либо 429), дренаж очереди с проверкой завершения задач, повторный шквал при занятой очереди, шквал sync (ожидание 200/429 SYNC_BUSY), мусорный вход под нагрузкой (ожидание 4xx, не 5xx), контроль живости сервиса после шквала</w:t>
            </w:r>
          </w:p>
        </w:tc>
      </w:tr>
    </w:tbl>
    <w:p>
      <w:pPr>
        <w:spacing w:after="40"/>
      </w:pPr>
    </w:p>
    <w:p>
      <w:pPr>
        <w:pStyle w:val="Heading2"/>
      </w:pPr>
      <w:r>
        <w:t>7.2. 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DDDDD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3061"/>
            <w:shd w:val="clear" w:color="auto" w:fill="DDDDDD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b/>
                <w:sz w:val="19"/>
              </w:rPr>
              <w:t>Реализация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И-05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Упаковка сервиса в Docker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deploy/Dockerfile: multi-stage (стадия сборки выполняет 125 тестов и конформанс ENG6, затем собирает UI), runtime на node:20-bookworm-slim с tini, non-root uid 1001, HEALTHCHECK по /readyz, ограничение кучи воркеров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И-06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Сбор метрик Prometheus (время расчёта, размер очереди)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deploy/prometheus/prometheus.yml (цель eng6-plan, интервал 10 с, retention 30 сут) и rules/eng6-plan.yml: 6 записываемых правил и 10 алертов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И-07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Визуализация в Grafana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deploy/grafana/provisioning (источник данных и провайдер дашбордов) и dashboards/eng6-plan.json — 22 панели в 4 группах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И-08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Оркестрация (дополнительно)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deploy/docker-compose.yml (сервис + Prometheus + Grafana, read-only root FS, cap_drop ALL, лимиты ресурсов, no-new-privileges) и deploy/k8s/eng6-plan.yaml</w:t>
            </w:r>
          </w:p>
        </w:tc>
      </w:tr>
    </w:tbl>
    <w:p>
      <w:pPr>
        <w:spacing w:after="40"/>
      </w:pPr>
    </w:p>
    <w:p>
      <w:pPr>
        <w:pStyle w:val="Heading2"/>
      </w:pPr>
      <w:r>
        <w:t>7.3. Результаты контрольных прогонов</w:t>
      </w:r>
    </w:p>
    <w:p>
      <w:pPr>
        <w:spacing w:after="80"/>
      </w:pPr>
      <w:r>
        <w:rPr>
          <w:b w:val="0"/>
          <w:i w:val="0"/>
          <w:sz w:val="24"/>
        </w:rPr>
        <w:t>Условия стенда: контейнер 2 vCPU, лимит памяти 1 ГБ (cgroup memory.max = 1073741824), Node v20.20.2, Linux x64. Ядро ENG6 v5.1.0 (sha256 adb610c9…).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Узлов</w:t>
            </w:r>
          </w:p>
        </w:tc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Рёбер</w:t>
            </w:r>
          </w:p>
        </w:tc>
        <w:tc>
          <w:tcPr>
            <w:tcW w:type="dxa" w:w="964"/>
            <w:shd w:val="clear" w:color="auto" w:fill="DDDDDD"/>
          </w:tcPr>
          <w:p>
            <w:r/>
            <w:r>
              <w:rPr>
                <w:b/>
                <w:sz w:val="19"/>
              </w:rPr>
              <w:t>Заявок</w:t>
            </w:r>
          </w:p>
        </w:tc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1247"/>
            <w:shd w:val="clear" w:color="auto" w:fill="DDDDDD"/>
          </w:tcPr>
          <w:p>
            <w:r/>
            <w:r>
              <w:rPr>
                <w:b/>
                <w:sz w:val="19"/>
              </w:rPr>
              <w:t>Время, мс</w:t>
            </w:r>
          </w:p>
        </w:tc>
        <w:tc>
          <w:tcPr>
            <w:tcW w:type="dxa" w:w="1077"/>
            <w:shd w:val="clear" w:color="auto" w:fill="DDDDDD"/>
          </w:tcPr>
          <w:p>
            <w:r/>
            <w:r>
              <w:rPr>
                <w:b/>
                <w:sz w:val="19"/>
              </w:rPr>
              <w:t>мс/узел</w:t>
            </w:r>
          </w:p>
        </w:tc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RSS, МБ</w:t>
            </w:r>
          </w:p>
        </w:tc>
        <w:tc>
          <w:tcPr>
            <w:tcW w:type="dxa" w:w="1247"/>
            <w:shd w:val="clear" w:color="auto" w:fill="DDDDDD"/>
          </w:tcPr>
          <w:p>
            <w:r/>
            <w:r>
              <w:rPr>
                <w:b/>
                <w:sz w:val="19"/>
              </w:rPr>
              <w:t>Ответ, КБ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354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PARTIAL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0,380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59,6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3 565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PARTIAL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294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0,294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70,8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368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5 000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17 702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PARTIAL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794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0,159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92,5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1 141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10 000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35 320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PARTIAL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1 701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0,170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127,4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2 057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25 000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88 326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PARTIAL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5 112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0,204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161,5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3 536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50 000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176 704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PARTIAL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15 069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0,301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254,1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6 913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100 000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352 889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2 000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PARTIAL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39 577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0,396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419,2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14 004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4"/>
        </w:rPr>
        <w:t>Показатели слоя API. Реалистичный профиль (пакет 3,3 КБ — батальонный сценарий из UI/ERP): достигнуто 24,00 запроса/с, коды 200 — 240 из 240 (ни одного отказа); латентность клиента p50 7,2 мс, p95 10,2 мс, p99 23,5 мс; расчёт в ядре p50 2,93 мс, p95 4,21 мс. Тяжёлый профиль (пакет 567 КБ, 1 000 узлов): расчёт в ядре p50 128 мс, p95 434 мс, ожидание слота p50 233 мс; при единственном синхронном слоте (2 vCPU) 57 запросов из 96 корректно отклонены с кодом 429 SYNC_BUSY и подсказкой уйти в асинхронный режим. Асинхронный режим: 12 из 12 задач приняты (202 + Location), все завершились SUCCEEDED, ожидание в очереди p50 821 мс, расчёт p50 201 мс, сквозное время p95 395 мс.</w:t>
      </w:r>
    </w:p>
    <w:p>
      <w:pPr>
        <w:spacing w:after="80"/>
      </w:pPr>
      <w:r>
        <w:rPr>
          <w:b w:val="0"/>
          <w:i w:val="0"/>
          <w:sz w:val="24"/>
        </w:rPr>
        <w:t>Шквал-тест (требование Критика): 40 одновременных тяжёлых задач по 2 000 узлов (пакет 1 143 КБ), 2 воркера, очередь 16 — принято 26 × 202 Accepted и честно отклонено 14 × 429 QUEUE_FULL с Retry-After: 10; дренаж контрольных 6 задач — 6/6 SUCCEEDED (расчёт 214…699 мс, ожидание в очереди 1,9…6,0 с); повторный шквал при занятой очереди — 23 × 202 и 17 × 429; шквал синхронных запросов — 2 × 200 и 28 × 429 SYNC_BUSY; мусорный вход под нагрузкой — 3 × 422 и ни одной 5xx. После шквала: healthz 200, readyz 200, RSS 493 МБ, очередь 0, перезапусков воркеров 0, выполнено задач 53, отказов 0, таймаутов 0. Итог — PASS.</w:t>
      </w:r>
    </w:p>
    <w:p>
      <w:pPr>
        <w:pStyle w:val="Heading2"/>
      </w:pPr>
      <w:r>
        <w:t>7.4. Комплект автоматизированных проверок</w:t>
      </w:r>
    </w:p>
    <w:p>
      <w:pPr>
        <w:spacing w:after="80"/>
      </w:pPr>
      <w:r>
        <w:rPr>
          <w:b w:val="0"/>
          <w:i w:val="0"/>
          <w:sz w:val="24"/>
        </w:rPr>
        <w:t>125 тестов (109 unit + 16 conformance), 0 падений. Наборы: графовый подслой (23, включая сверку компонент, связности, мостов и точек сочленения с ENG6.NET и прогон на 10⁵ узлов), планировщик на эталонных графах 5–10 узлов (19), валидатор (16), рюкзак против полного перебора (5), расписание (12), чистые функции визуального модуля и проверка NFR-02 (18), конформанс ENG6 (9), изоляция ядра (7).</w:t>
      </w:r>
    </w:p>
    <w:p>
      <w:r>
        <w:br w:type="page"/>
      </w:r>
    </w:p>
    <w:p>
      <w:pPr>
        <w:pStyle w:val="Heading1"/>
      </w:pPr>
      <w:r>
        <w:t>8. Матрица соответствия требований и результатов контроля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211"/>
            <w:shd w:val="clear" w:color="auto" w:fill="DDDDDD"/>
          </w:tcPr>
          <w:p>
            <w:r/>
            <w:r>
              <w:rPr>
                <w:b/>
                <w:sz w:val="17"/>
              </w:rPr>
              <w:t>Требование</w:t>
            </w:r>
          </w:p>
        </w:tc>
        <w:tc>
          <w:tcPr>
            <w:tcW w:type="dxa" w:w="3175"/>
            <w:shd w:val="clear" w:color="auto" w:fill="DDDDDD"/>
          </w:tcPr>
          <w:p>
            <w:r/>
            <w:r>
              <w:rPr>
                <w:b/>
                <w:sz w:val="17"/>
              </w:rPr>
              <w:t>Реализация</w:t>
            </w:r>
          </w:p>
        </w:tc>
        <w:tc>
          <w:tcPr>
            <w:tcW w:type="dxa" w:w="2494"/>
            <w:shd w:val="clear" w:color="auto" w:fill="DDDDDD"/>
          </w:tcPr>
          <w:p>
            <w:r/>
            <w:r>
              <w:rPr>
                <w:b/>
                <w:sz w:val="17"/>
              </w:rPr>
              <w:t>Способ проверки</w:t>
            </w:r>
          </w:p>
        </w:tc>
        <w:tc>
          <w:tcPr>
            <w:tcW w:type="dxa" w:w="1474"/>
            <w:shd w:val="clear" w:color="auto" w:fill="DDDDDD"/>
          </w:tcPr>
          <w:p>
            <w:r/>
            <w:r>
              <w:rPr>
                <w:b/>
                <w:sz w:val="17"/>
              </w:rPr>
              <w:t>Статус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1. Формализация математической модели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docs/01_MATH_MODEL.md: вход/выход, MILP-постановка (1)–(10), физическая модель, 11 фаз со сложностью, статусная модель, граничные случаи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Экспертиза документа; тесты на эталонных графах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2. Ядро, класс Eng6Planner, алгоритмы, unit-тесты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core/planner.mjs + core/graph/* + physics/route/knapsack/schedule; 109 тестов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npm test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2. Изолированность ядра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V8-контекст с tripwire, отсутствие сетевых/БД-импортов, чистая функция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tests/conformance/isolation.test.mjs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3. Эндпоинты sync/async/tasks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api/server.mjs: 11 маршрутов, коды 200/202/400/401/404/409/413/422/429/500/503/504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tests/smoke_api.mjs, k6/Locust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3. Валидация входа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core/validate.mjs + предпроверка на уровне API + валидаторы ENG6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tests/unit/validation.test.mjs (16)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3. Аудит каждого запуска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api/audit.mjs: NDJSON + кольцевой буфер + GET /api/v1/audit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var/audit.ndjson, smoke-прогон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4. Путь Б: визуальный модуль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frontend/index.html (237 КБ, единый файл) — все FR-UI/RES/MAP/CTX/INT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tests/unit/frontend_pure.test.mjs (18), визуальный контроль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4. Путь А: коннектор к ERP/CRM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integrations/erp_connector.mjs: три формата источника, auto-режим sync/async, повторы с Retry-After, выгрузка плоских таблиц в диспетчеризацию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Сквозной прогон на examples/erp_export.json и examples/erp_sites.csv; код возврата 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5. Нагрузочные испытания 100…100 000 узлов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loadtest/run_load.mjs, k6_comms_planner.js, locustfile.py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loadtest/results/*.json, docs/04_TEST_REPORT.md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5. Замер RAM и времени отклика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Фаза A (RSS/heap/фазы), фазы B/C (X-Compute-Ms, X-Queue-Wait-Ms, /healthz)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Таблицы раздела 7.3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5. Docker, Prometheus, Grafana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deploy/Dockerfile, docker-compose.yml, prometheus/, grafana/, k8s/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Сборка образа с тестами внутри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Этап 5. Поведение при 100 одновременных тяжёлых запросах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Очередь + 4 рубежа backpressure; 429/202/503 вместо падения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Фаза C стенда (PASS)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NFR-01. Не менее 30 FPS при 1000 знаков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Canvas2D + кэш рельефа + отсечение; счётчик FPS в интерфейсе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Встроенный контроль с предупреждением в журнале UI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NFR-02. Без localStorage, только TLS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Сканирование исходника, CSP, no-store, fail-fast production без TLS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tests/unit/frontend_pure.test.mjs, api/config.mjs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NFR-03. Точность 6 знаков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round6() на входе, в ядре и в ответе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Тесты NFR-03 и контракта ответа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Замечание Военпреда (аудит)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Полный состав полей записи, SHA-256 входа без раскрытия координат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docs/03_API.md п. 2.7, var/audit.ndjson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Замечание Айтишника (изоляция)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ADR-001, ADR-002, требования Я-01…Я-07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tests/conformance/isolation.test.mjs (7)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7"/>
              </w:rPr>
              <w:t>Замечание Критика (несвязность, перегрузка, OOM)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Статусная модель + minimalRelaxations + partialSolution; лимиты до выделения памяти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tests/unit/planner_reference.test.mjs (19), фаза C стенда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Выполнено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Порядок контроля и приёмки</w:t>
      </w:r>
    </w:p>
    <w:p>
      <w:pPr>
        <w:pStyle w:val="Heading2"/>
      </w:pPr>
      <w:r>
        <w:t>9.1. Приёмочные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DDDDDD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268"/>
            <w:shd w:val="clear" w:color="auto" w:fill="DDDDDD"/>
          </w:tcPr>
          <w:p>
            <w:r/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175"/>
            <w:shd w:val="clear" w:color="auto" w:fill="DDDDDD"/>
          </w:tcPr>
          <w:p>
            <w:r/>
            <w:r>
              <w:rPr>
                <w:b/>
                <w:sz w:val="18"/>
              </w:rPr>
              <w:t>Команда / действие</w:t>
            </w:r>
          </w:p>
        </w:tc>
        <w:tc>
          <w:tcPr>
            <w:tcW w:type="dxa" w:w="3345"/>
            <w:shd w:val="clear" w:color="auto" w:fill="DDDDDD"/>
          </w:tcPr>
          <w:p>
            <w:r/>
            <w:r>
              <w:rPr>
                <w:b/>
                <w:sz w:val="18"/>
              </w:rPr>
              <w:t>Критерий приёмки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Конформанс вендорного ядра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GET /api/v1/conformance?refresh=1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ok = true, selfTestTotal = 33, selfTestFailed = [], regressionTotal = 5, regressionFailed = []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Контрольная сумма вендора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sha256sum core/vendor/eng6_core.js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adb610c9eee1ca17b257cbc6087e2278fdde3eef92f3b6a360cfb51968d48b20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Комплект тестов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npm test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125 проверок, 0 падений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Эталонный расчёт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curl -X POST /api/v1/plan/sync --data @examples/battalion.json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status ∈ {OPTIMAL, FEASIBLE, PARTIAL}; plan/metrics/diagnostics/timings/core присутствуют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Граничный случай «несвязная сеть»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--data @examples/disconnected.json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status PARTIAL; diagnostics.infeasibility содержит NET_DISCONNECTED и ADD_RELAY с координатами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Граничный случай «перегрузка»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--data @examples/oversubscribed.json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status PARTIAL; есть deficitKbps &gt; 0 и ADD_CAPACITY по конкретным линиям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Некорректный вход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POST с lat = 999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HTTP 422, status INVALID, errors с JSON-путями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Асинхронный режим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POST /plan/async → GET /tasks/{id}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202 + Location; затем SUCCEEDED с результатом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Шквал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node loadtest/run_load.mjs --profile=quick --only=burst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Коды 202/429, 0 кодов 5xx, healthz 200 после шквала, перезапусков воркеров 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Масштабирование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node loadtest/run_load.mjs --profile=full --only=core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100 000 узлов ≤ 90 с, RSS ≤ 1 ГБ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Аудит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GET /api/v1/audit?limit=10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Для каждого запуска: actor, inputSha256, createdAt/finishedAt, 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Метрики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GET /metrics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Присутствуют eng6_plan_duration_ms, eng6_queue_length, eng6_workers_busy, eng6_plan_total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Безопасность заголовков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curl -I GET /api/v1/meta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Cache-Control: no-store, X-Frame-Options: DENY, nosniff, CSP default-src none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Визуальный модуль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Открыть frontend/index.html без сети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Загружается с встроенным результатом расчёта; счётчик FPS ≥ 30 при 1000 знаков</w:t>
            </w:r>
          </w:p>
        </w:tc>
      </w:tr>
    </w:tbl>
    <w:p>
      <w:pPr>
        <w:spacing w:after="40"/>
      </w:pPr>
    </w:p>
    <w:p>
      <w:pPr>
        <w:pStyle w:val="Heading2"/>
      </w:pPr>
      <w:r>
        <w:t>9.2. Регламент сопровождения</w:t>
      </w:r>
    </w:p>
    <w:p>
      <w:pPr>
        <w:pStyle w:val="ListBullet"/>
        <w:spacing w:after="40"/>
        <w:ind w:left="425"/>
      </w:pPr>
      <w:r>
        <w:t>конформанс ядра ENG6 — при каждой сборке и ежесуточно (автоматически);</w:t>
      </w:r>
    </w:p>
    <w:p>
      <w:pPr>
        <w:pStyle w:val="ListBullet"/>
        <w:spacing w:after="40"/>
        <w:ind w:left="425"/>
      </w:pPr>
      <w:r>
        <w:t>проверка контрольной суммы вендора — при каждом изменении core/vendor/;</w:t>
      </w:r>
    </w:p>
    <w:p>
      <w:pPr>
        <w:pStyle w:val="ListBullet"/>
        <w:spacing w:after="40"/>
        <w:ind w:left="425"/>
      </w:pPr>
      <w:r>
        <w:t>нагрузочный прогон — ежемесячно и перед каждым релизом, сверка с docs/04_TEST_REPORT.md (регрессия более 20 % — блокирующий дефект);</w:t>
      </w:r>
    </w:p>
    <w:p>
      <w:pPr>
        <w:pStyle w:val="ListBullet"/>
        <w:spacing w:after="40"/>
        <w:ind w:left="425"/>
      </w:pPr>
      <w:r>
        <w:t>ротация API-ключей — 90 суток; ротация журнала аудита — по достижении 1 ГБ, хранение не менее года;</w:t>
      </w:r>
    </w:p>
    <w:p>
      <w:pPr>
        <w:pStyle w:val="ListBullet"/>
        <w:spacing w:after="40"/>
        <w:ind w:left="425"/>
      </w:pPr>
      <w:r>
        <w:t>журнал дефектов (docs/06_DEFECTS.md) ведётся непрерывно, каждый пункт имеет статус и способ устранения.</w:t>
      </w:r>
    </w:p>
    <w:p>
      <w:pPr>
        <w:pStyle w:val="Heading2"/>
      </w:pPr>
      <w:r>
        <w:t>9.3. Особые условия</w:t>
      </w:r>
    </w:p>
    <w:p>
      <w:pPr>
        <w:spacing w:after="80"/>
      </w:pPr>
      <w:r>
        <w:rPr>
          <w:b w:val="0"/>
          <w:i w:val="0"/>
          <w:sz w:val="24"/>
        </w:rPr>
        <w:t>1. Вендорное ядро ENG6 поставляется без изменений; любые правки вендора недопустимы без повторного прохождения конформанс-протокола и обновления контрольной суммы.</w:t>
      </w:r>
    </w:p>
    <w:p>
      <w:pPr>
        <w:spacing w:after="80"/>
      </w:pPr>
      <w:r>
        <w:rPr>
          <w:b w:val="0"/>
          <w:i w:val="0"/>
          <w:sz w:val="24"/>
        </w:rPr>
        <w:t>2. Режим физики fast не учитывает дифракцию на рельефе и является оптимистичным на пересечённой местности; для ответственных расчётов обязателен режим full либо terrain.source = flat. Расхождение контролируется перекрёстной проверкой плана ядром ENG6 (вердикты CONSISTENT / DEGRADED / REJECTED_BY_ENG6).</w:t>
      </w:r>
    </w:p>
    <w:p>
      <w:pPr>
        <w:spacing w:after="80"/>
      </w:pPr>
      <w:r>
        <w:rPr>
          <w:b w:val="0"/>
          <w:i w:val="0"/>
          <w:sz w:val="24"/>
        </w:rPr>
        <w:t>3. Результаты асинхронных задач не персистентны by design (TTL 1 ч, LRU ≤ 256 записей). Долговременное хранение обеспечивает заказчик в своей БД (FR-INT-01).</w:t>
      </w:r>
    </w:p>
    <w:p>
      <w:pPr>
        <w:spacing w:after="80"/>
      </w:pPr>
      <w:r>
        <w:rPr>
          <w:b w:val="0"/>
          <w:i w:val="0"/>
          <w:sz w:val="24"/>
        </w:rPr>
        <w:t>4. Экспортный контроль и порядок обращения с изделием определяются заказчиком; математические модели соответствуют рекомендациям ITU-R P.526, P.838-3, P.676 и открытым публикациям.</w:t>
      </w:r>
    </w:p>
    <w:p>
      <w:r>
        <w:br w:type="page"/>
      </w:r>
    </w:p>
    <w:p>
      <w:pPr>
        <w:pStyle w:val="Heading1"/>
      </w:pPr>
      <w:r>
        <w:t>Приложение А. Реестр дефектов, выявленных при разработке</w:t>
      </w:r>
    </w:p>
    <w:p>
      <w:pPr>
        <w:spacing w:after="80"/>
      </w:pPr>
      <w:r>
        <w:rPr>
          <w:b w:val="0"/>
          <w:i w:val="0"/>
          <w:sz w:val="24"/>
        </w:rPr>
        <w:t>Полное описание — docs/06_DEFECTS.md. Все дефекты устранены и покрыты регрессионными тестами.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850"/>
            <w:shd w:val="clear" w:color="auto" w:fill="DDDDDD"/>
          </w:tcPr>
          <w:p>
            <w:r/>
            <w:r>
              <w:rPr>
                <w:b/>
                <w:sz w:val="17"/>
              </w:rPr>
              <w:t>№</w:t>
            </w:r>
          </w:p>
        </w:tc>
        <w:tc>
          <w:tcPr>
            <w:tcW w:type="dxa" w:w="2608"/>
            <w:shd w:val="clear" w:color="auto" w:fill="DDDDDD"/>
          </w:tcPr>
          <w:p>
            <w:r/>
            <w:r>
              <w:rPr>
                <w:b/>
                <w:sz w:val="17"/>
              </w:rPr>
              <w:t>Дефект</w:t>
            </w:r>
          </w:p>
        </w:tc>
        <w:tc>
          <w:tcPr>
            <w:tcW w:type="dxa" w:w="2948"/>
            <w:shd w:val="clear" w:color="auto" w:fill="DDDDDD"/>
          </w:tcPr>
          <w:p>
            <w:r/>
            <w:r>
              <w:rPr>
                <w:b/>
                <w:sz w:val="17"/>
              </w:rPr>
              <w:t>Последствие</w:t>
            </w:r>
          </w:p>
        </w:tc>
        <w:tc>
          <w:tcPr>
            <w:tcW w:type="dxa" w:w="2948"/>
            <w:shd w:val="clear" w:color="auto" w:fill="DDDDDD"/>
          </w:tcPr>
          <w:p>
            <w:r/>
            <w:r>
              <w:rPr>
                <w:b/>
                <w:sz w:val="17"/>
              </w:rPr>
              <w:t>Статус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buildTemplate() в ENG6 возвращает сценарий без блока environment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analyzeScenario аварийно завершается (TypeError)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Обойдён: нормализация среды в core/scenario.mjs; вендор не изменялся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Две семантики marginDb в режимах fast и balanced ENG6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Расхождение допуска линий на 6…40 дБ между режимами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fast зеркалит balanced, marginDb = SINR − reqSNR, sensMarginDb выведен отдельно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DEF-03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Потеря элемента при росте двоичной кучи (subarray(0, size))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Некорректные кратчайшие пути на любых нетривиальных графах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Устранено; найден unit-тестом, добавлен регрессионный барьер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Буферизация тел всех входящих запросов без ограничения суммарной памяти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Гибель сервиса при 100 одновременных запросах по 2,3 МБ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503 MEMORY_BACKPRESSURE + ENG6_MAX_INFLIGHT_BYTES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Фиксированный лимит кучи воркера 1 536 МБ без учёта доступной памяти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OOM-kill всего процесса в контейнере с лимитом 1 ГБ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адаптивный лимит totalmem/workers/2 (192…1536 МБ)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DEF-06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Установка заголовка после writeHead (ERR_HTTP_HEADERS_SENT)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Async-задача создавалась, но не отправлялась в пул — вечно QUEUED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Устранено; добавлен тест полного жизненного цикла задачи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DEF-07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Узел связи потреблял отдельную единицу техники из парка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Заявки от узла связи отклонялись UNIT_NOT_READY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агрегат не потребляет парк, стоимость 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DEF-08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Метки времени в блоке перекрёстной проверки ENG6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Нарушение детерминированности ответа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timingMs исключён, assumptions нормализованы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DEF-09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Квадратичная сложность назначения техники и выдачи плана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207 мс вместо 27 мс на 10⁴ узлов; деградация на 10⁵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курсоры пулов, индексы Map вместо find() в цикле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DEF-10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Определитель разделителя CSV по пустой первой строке секции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Импорт файлов с секциями [nodes]/[links] давал одно поле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Устранено; покрыто тестом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DEF-11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Модель очереди M/M/1 в задержке маршрута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Ложный диагноз DELAY_EXCEEDED вместо CAPACITY_SHORTAGE, абсурдные послабления (30 594 мс)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очередь по умолчанию отключена, сериализация от запрошенной скорости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DEF-12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Режим physics=full наследовал quality=fast — пессимистичную ветвь ENG6 (чистый Hata)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На импорте из ERP 7 из 9 линий отбраковывались, запас −41 дБ на 5 км, план INFEASIBLE при реализуемой топологии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quality по умолчанию balanced — согласовано с режимом fast (ADR-003)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DEF-13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Оценка плана выводилась только из целевой функции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Пустой план при статусе INFEASIBLE получал оценку B — маскировка провала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оценка ограничивается уровнем обслуживания заявок (худшая из двух), введены метрики serviceLevelByCountPct и serviceLevelByBandwidthPct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DEF-14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Коннектор выполнялся при импорте модуля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Любой импорт запускал обмен с сервисом, модуль нельзя было тестировать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запуск только при прямом вызове, адаптеры экспортированы, добавлен ключ --dump-request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DEF-15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Пустое числовое поле CSV трактовалось как ноль (Number("") = 0)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Линии получали bwKhz: 0 и freqMhz: 0, весь CSV-импорт возвращал INVALID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пустая строка означает «не задано», ядро подставляет дефолт из LINK_TYPES ENG6; добавлены 2 регрессионных теста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DEF-16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Режим --dump-request требовал доступного сервиса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Отладка маппинга полей ERP без запущенного ядра была невозможна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Устранено: дамп формируется до обращения к ядру, режим полностью офлайновый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Б. Состав поставки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DDDDDD"/>
          </w:tcPr>
          <w:p>
            <w:r/>
            <w:r>
              <w:rPr>
                <w:b/>
                <w:sz w:val="19"/>
              </w:rPr>
              <w:t>Каталог / файл</w:t>
            </w:r>
          </w:p>
        </w:tc>
        <w:tc>
          <w:tcPr>
            <w:tcW w:type="dxa" w:w="6803"/>
            <w:shd w:val="clear" w:color="auto" w:fill="DDDDDD"/>
          </w:tcPr>
          <w:p>
            <w:r/>
            <w:r>
              <w:rPr>
                <w:b/>
                <w:sz w:val="19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core/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Вычислительное ядро: planner, physics, route, knapsack, schedule, scenario, validate, schema, graph/*, vendor/eng6_core.js + VENDOR_SHA256.txt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api/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Слой API: main, server, pool, worker, tasks, ratelimit, audit, metrics, http, config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frontend/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index.html (сборка, единый файл) и src/ (app.js, styles.css, index.template.html, demo_scenario.mjs)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integrations/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erp_connector.mjs — коннектор к ERP/CRM/АСУ (Путь А)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loadtest/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run_load.mjs, k6_comms_planner.js, locustfile.py, results/*.json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.github/workflows/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ci.yml — конформанс, 125 тестов, сборка UI, нагрузка, Docker-образ, валидация конфигураций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deploy/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Dockerfile, docker-compose.yml, prometheus/ (конфигурация + 10 алертов), grafana/ (provisioning + дашборд 22 панели), k8s/eng6-plan.yaml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tests/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unit/ (7 файлов, 109 тестов), conformance/ (2 файла, 16 тестов), smoke-прогоны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scripts/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gen_topology.mjs (генераторы топологий), build_frontend.mjs (сборка UI), selfcheck.mjs (21 приёмочная проверка), make_tz_docx.py (настоящий документ)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examples/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battalion.json, disconnected.json, oversubscribed.json, regional_500.json, README.md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docs/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01_MATH_MODEL.md, 02_ARCHITECTURE.md, 03_API.md, openapi.yaml, 04_TEST_REPORT.md, 05_OPS.md, 06_DEFECTS.md, TZ_Dopolnenie_GOST34602.docx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README.md, package.json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Обзор, быстрый старт, ответы на замечания комиссии; метаданные и скрипты (зависимости отсутствуют)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4"/>
        </w:rPr>
      </w:r>
    </w:p>
    <w:p>
      <w:pPr>
        <w:spacing w:after="40"/>
      </w:pPr>
      <w:r>
        <w:rPr>
          <w:b/>
          <w:i w:val="0"/>
          <w:sz w:val="24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134"/>
            <w:shd w:val="clear" w:color="auto" w:fill="DDDDDD"/>
          </w:tcPr>
          <w:p>
            <w:r/>
            <w:r>
              <w:rPr>
                <w:b/>
                <w:sz w:val="19"/>
              </w:rPr>
              <w:t>Версия</w:t>
            </w:r>
          </w:p>
        </w:tc>
        <w:tc>
          <w:tcPr>
            <w:tcW w:type="dxa" w:w="1474"/>
            <w:shd w:val="clear" w:color="auto" w:fill="DDDDDD"/>
          </w:tcPr>
          <w:p>
            <w:r/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329"/>
            <w:shd w:val="clear" w:color="auto" w:fill="DDDDDD"/>
          </w:tcPr>
          <w:p>
            <w:r/>
            <w:r>
              <w:rPr>
                <w:b/>
                <w:sz w:val="19"/>
              </w:rPr>
              <w:t>Описание изменения</w:t>
            </w:r>
          </w:p>
        </w:tc>
        <w:tc>
          <w:tcPr>
            <w:tcW w:type="dxa" w:w="1417"/>
            <w:shd w:val="clear" w:color="auto" w:fill="DDDDDD"/>
          </w:tcPr>
          <w:p>
            <w:r/>
            <w:r>
              <w:rPr>
                <w:b/>
                <w:sz w:val="19"/>
              </w:rPr>
              <w:t>Подпись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16.10.2026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Первая редакция: требования этапов 1–5, матрица соответствия, реестр дефектов, результаты контрольных прогонов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