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2A4A"/>
          <w:sz w:val="56"/>
        </w:rPr>
        <w:t>Kairos — Master documentation index</w:t>
      </w:r>
    </w:p>
    <w:p>
      <w:r>
        <w:rPr>
          <w:b/>
          <w:color w:val="1A2A4A"/>
          <w:sz w:val="40"/>
        </w:rPr>
        <w:t>Kairos — Master documentation index</w:t>
      </w:r>
    </w:p>
    <w:p>
      <w:r>
        <w:t>_Last updated: 2026-05-18. Read this first. Everything else is reachable from here._</w:t>
      </w:r>
    </w:p>
    <w:p>
      <w:r>
        <w:t xml:space="preserve">Kairos is a single-tenant AI cockpit being commercialized as </w:t>
      </w:r>
      <w:r>
        <w:rPr>
          <w:b/>
        </w:rPr>
        <w:t>a per-client AI workspace for fractional CFOs</w:t>
      </w:r>
      <w:r>
        <w:t>. This index points to the right doc for whoever you are.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  <w:color w:val="1A2A4A"/>
          <w:sz w:val="32"/>
        </w:rPr>
        <w:t>Pick your starting point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You are…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Read in this order</w:t>
            </w:r>
          </w:p>
        </w:tc>
      </w:tr>
      <w:tr>
        <w:tc>
          <w:tcPr>
            <w:tcW w:type="dxa" w:w="4320"/>
          </w:tcPr>
          <w:p>
            <w:r>
              <w:t>**Bruno (or future-self)** picking the project back up</w:t>
            </w:r>
          </w:p>
        </w:tc>
        <w:tc>
          <w:tcPr>
            <w:tcW w:type="dxa" w:w="4320"/>
          </w:tcPr>
          <w:p>
            <w:r>
              <w:t>[Strategy](business/strategy.md) → [State](business/state.md) → [Architecture](06-jarvis-architecture-proposal.md) → [Roadmap](ROADMAP.md)</w:t>
            </w:r>
          </w:p>
        </w:tc>
      </w:tr>
      <w:tr>
        <w:tc>
          <w:tcPr>
            <w:tcW w:type="dxa" w:w="4320"/>
          </w:tcPr>
          <w:p>
            <w:r>
              <w:t>**A contractor** Bruno hired part-time</w:t>
            </w:r>
          </w:p>
        </w:tc>
        <w:tc>
          <w:tcPr>
            <w:tcW w:type="dxa" w:w="4320"/>
          </w:tcPr>
          <w:p>
            <w:r>
              <w:t>[README.md](../README.md) → [ONBOARDING.md](ONBOARDING.md) → [CONTEXT.md](../CONTEXT.md) → [Locked decisions](09-locked-decisions.md)</w:t>
            </w:r>
          </w:p>
        </w:tc>
      </w:tr>
      <w:tr>
        <w:tc>
          <w:tcPr>
            <w:tcW w:type="dxa" w:w="4320"/>
          </w:tcPr>
          <w:p>
            <w:r>
              <w:t>**A prospective customer** (fractional CFO)</w:t>
            </w:r>
          </w:p>
        </w:tc>
        <w:tc>
          <w:tcPr>
            <w:tcW w:type="dxa" w:w="4320"/>
          </w:tcPr>
          <w:p>
            <w:r>
              <w:t>[One-pager](external/one-pager.md) → [Security overview](external/security.md) → [marketing/hero.md](../marketing/hero.md) (the live landing copy)</w:t>
            </w:r>
          </w:p>
        </w:tc>
      </w:tr>
      <w:tr>
        <w:tc>
          <w:tcPr>
            <w:tcW w:type="dxa" w:w="4320"/>
          </w:tcPr>
          <w:p>
            <w:r>
              <w:t>**A potential acquirer or strategic partner**</w:t>
            </w:r>
          </w:p>
        </w:tc>
        <w:tc>
          <w:tcPr>
            <w:tcW w:type="dxa" w:w="4320"/>
          </w:tcPr>
          <w:p>
            <w:r>
              <w:t>[Pitch outline](investor/pitch-outline.md) → [Strategy](business/strategy.md) → [State](business/state.md) (honest moat + blockers)</w:t>
            </w:r>
          </w:p>
        </w:tc>
      </w:tr>
    </w:tbl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  <w:color w:val="1A2A4A"/>
          <w:sz w:val="32"/>
        </w:rPr>
        <w:t>Internal canon</w:t>
      </w:r>
    </w:p>
    <w:p>
      <w:r>
        <w:t>The honest source of truth. Will contradict marketing copy in places — that's the point.</w:t>
      </w:r>
    </w:p>
    <w:p>
      <w:r>
        <w:rPr>
          <w:b/>
          <w:color w:val="101014"/>
          <w:sz w:val="26"/>
        </w:rPr>
        <w:t>Strategy</w:t>
      </w:r>
    </w:p>
    <w:p>
      <w:pPr>
        <w:pStyle w:val="ListBullet"/>
      </w:pPr>
      <w:r>
        <w:rPr>
          <w:color w:val="1A2A4A"/>
          <w:u w:val="single"/>
        </w:rPr>
        <w:t>`business/strategy.md`</w:t>
      </w:r>
      <w:r>
        <w:t xml:space="preserve"> — Wedge selection, ACV, GTM, what's explicitly off-limits.</w:t>
      </w:r>
    </w:p>
    <w:p>
      <w:pPr>
        <w:pStyle w:val="ListBullet"/>
      </w:pPr>
      <w:r>
        <w:rPr>
          <w:color w:val="1A2A4A"/>
          <w:u w:val="single"/>
        </w:rPr>
        <w:t>`business/state.md`</w:t>
      </w:r>
      <w:r>
        <w:t xml:space="preserve"> — What works, what's vapor, productization blockers (~5–7 weeks).</w:t>
      </w:r>
    </w:p>
    <w:p>
      <w:r>
        <w:rPr>
          <w:b/>
          <w:color w:val="101014"/>
          <w:sz w:val="26"/>
        </w:rPr>
        <w:t>Architecture &amp; decisions</w:t>
      </w:r>
    </w:p>
    <w:p>
      <w:pPr>
        <w:pStyle w:val="ListBullet"/>
      </w:pPr>
      <w:r>
        <w:rPr>
          <w:color w:val="1A2A4A"/>
          <w:u w:val="single"/>
        </w:rPr>
        <w:t>`06-jarvis-architecture-proposal.md`</w:t>
      </w:r>
      <w:r>
        <w:t xml:space="preserve"> — Three-service composition (memory, harness, web).</w:t>
      </w:r>
    </w:p>
    <w:p>
      <w:pPr>
        <w:pStyle w:val="ListBullet"/>
      </w:pPr>
      <w:r>
        <w:rPr>
          <w:color w:val="1A2A4A"/>
          <w:u w:val="single"/>
        </w:rPr>
        <w:t>`09-locked-decisions.md`</w:t>
      </w:r>
      <w:r>
        <w:t xml:space="preserve"> — Phase-0/1 decisions that are no longer up for debate.</w:t>
      </w:r>
    </w:p>
    <w:p>
      <w:pPr>
        <w:pStyle w:val="ListBullet"/>
      </w:pPr>
      <w:r>
        <w:rPr>
          <w:color w:val="1A2A4A"/>
          <w:u w:val="single"/>
        </w:rPr>
        <w:t>`11-hot-cache.md`</w:t>
      </w:r>
      <w:r>
        <w:t xml:space="preserve"> — Why </w:t>
      </w:r>
      <w:r>
        <w:rPr>
          <w:rFonts w:ascii="Consolas" w:hAnsi="Consolas"/>
          <w:color w:val="1A2A4A"/>
        </w:rPr>
        <w:t>hot.md</w:t>
      </w:r>
      <w:r>
        <w:t xml:space="preserve"> is first-class.</w:t>
      </w:r>
    </w:p>
    <w:p>
      <w:pPr>
        <w:pStyle w:val="ListBullet"/>
      </w:pPr>
      <w:r>
        <w:rPr>
          <w:color w:val="1A2A4A"/>
          <w:u w:val="single"/>
        </w:rPr>
        <w:t>`ROADMAP.md`</w:t>
      </w:r>
      <w:r>
        <w:t xml:space="preserve"> — </w:t>
      </w:r>
      <w:r>
        <w:rPr>
          <w:b/>
        </w:rPr>
        <w:t>Active 12-month commercialization roadmap.</w:t>
      </w:r>
      <w:r>
        <w:t xml:space="preserve"> Three horizons, Friday-review cadence.</w:t>
      </w:r>
    </w:p>
    <w:p>
      <w:pPr>
        <w:pStyle w:val="ListBullet"/>
      </w:pPr>
      <w:r>
        <w:rPr>
          <w:color w:val="1A2A4A"/>
          <w:u w:val="single"/>
        </w:rPr>
        <w:t>`07-roadmap.md`</w:t>
      </w:r>
      <w:r>
        <w:t xml:space="preserve"> — </w:t>
      </w:r>
      <w:r>
        <w:rPr>
          <w:i/>
        </w:rPr>
        <w:t>Historical.</w:t>
      </w:r>
      <w:r>
        <w:t xml:space="preserve"> Pre-commercialization JARVIS phases. Reference only — superseded by </w:t>
      </w:r>
      <w:r>
        <w:rPr>
          <w:rFonts w:ascii="Consolas" w:hAnsi="Consolas"/>
          <w:color w:val="1A2A4A"/>
        </w:rPr>
        <w:t>ROADMAP.md</w:t>
      </w:r>
      <w:r>
        <w:t>.</w:t>
      </w:r>
    </w:p>
    <w:p>
      <w:r>
        <w:rPr>
          <w:b/>
          <w:color w:val="101014"/>
          <w:sz w:val="26"/>
        </w:rPr>
        <w:t>Domain language</w:t>
      </w:r>
    </w:p>
    <w:p>
      <w:pPr>
        <w:pStyle w:val="ListBullet"/>
      </w:pPr>
      <w:r>
        <w:rPr>
          <w:color w:val="1A2A4A"/>
          <w:u w:val="single"/>
        </w:rPr>
        <w:t>`../CONTEXT.md`</w:t>
      </w:r>
      <w:r>
        <w:t xml:space="preserve"> — Glossary of terms (cockpit, brain, vault, agent, approval gate). Read before writing code or copy.</w:t>
      </w:r>
    </w:p>
    <w:p>
      <w:r>
        <w:rPr>
          <w:b/>
          <w:color w:val="101014"/>
          <w:sz w:val="26"/>
        </w:rPr>
        <w:t>Background research (skim once, refer rarely)</w:t>
      </w:r>
    </w:p>
    <w:p>
      <w:pPr>
        <w:pStyle w:val="ListBullet"/>
      </w:pPr>
      <w:r>
        <w:rPr>
          <w:color w:val="1A2A4A"/>
          <w:u w:val="single"/>
        </w:rPr>
        <w:t>`00-overview.md`</w:t>
      </w:r>
      <w:r>
        <w:t xml:space="preserve">, </w:t>
      </w:r>
      <w:r>
        <w:rPr>
          <w:color w:val="1A2A4A"/>
          <w:u w:val="single"/>
        </w:rPr>
        <w:t>`01-openclaw.md`</w:t>
      </w:r>
      <w:r>
        <w:t xml:space="preserve"> … </w:t>
      </w:r>
      <w:r>
        <w:rPr>
          <w:color w:val="1A2A4A"/>
          <w:u w:val="single"/>
        </w:rPr>
        <w:t>`05-existing-project-audit.md`</w:t>
      </w:r>
      <w:r>
        <w:t xml:space="preserve"> — The "JARVIS dossier" that informed the design.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  <w:color w:val="1A2A4A"/>
          <w:sz w:val="32"/>
        </w:rPr>
        <w:t>External-facing docs</w:t>
      </w:r>
    </w:p>
    <w:p>
      <w:r>
        <w:t>Polished, customer-safe. Must not contradict the landing page or each other.</w:t>
      </w:r>
    </w:p>
    <w:p>
      <w:pPr>
        <w:pStyle w:val="ListBullet"/>
      </w:pPr>
      <w:r>
        <w:rPr>
          <w:color w:val="1A2A4A"/>
          <w:u w:val="single"/>
        </w:rPr>
        <w:t>`external/one-pager.md`</w:t>
      </w:r>
      <w:r>
        <w:t xml:space="preserve"> — The buyer-facing summary.</w:t>
      </w:r>
    </w:p>
    <w:p>
      <w:pPr>
        <w:pStyle w:val="ListBullet"/>
      </w:pPr>
      <w:r>
        <w:rPr>
          <w:color w:val="1A2A4A"/>
          <w:u w:val="single"/>
        </w:rPr>
        <w:t>`external/security.md`</w:t>
      </w:r>
      <w:r>
        <w:t xml:space="preserve"> — Security &amp; data handling overview.</w:t>
      </w:r>
    </w:p>
    <w:p>
      <w:pPr>
        <w:pStyle w:val="ListBullet"/>
      </w:pPr>
      <w:r>
        <w:rPr>
          <w:color w:val="1A2A4A"/>
          <w:u w:val="single"/>
        </w:rPr>
        <w:t>`../marketing/hero.md`</w:t>
      </w:r>
      <w:r>
        <w:t xml:space="preserve"> — Source of truth for landing copy.</w:t>
      </w:r>
    </w:p>
    <w:p>
      <w:pPr>
        <w:pStyle w:val="ListBullet"/>
      </w:pPr>
      <w:r>
        <w:rPr>
          <w:color w:val="1A2A4A"/>
          <w:u w:val="single"/>
        </w:rPr>
        <w:t>`../marketing/loom-script.md`</w:t>
      </w:r>
      <w:r>
        <w:t xml:space="preserve"> — 90-second demo script.</w:t>
      </w:r>
    </w:p>
    <w:p>
      <w:r>
        <w:rPr>
          <w:i/>
          <w:color w:val="555C6E"/>
        </w:rPr>
        <w:t>**Three known mismatches to fix in code, not copy** (per `business/state.md` and the audit):</w:t>
      </w:r>
    </w:p>
    <w:p>
      <w:r>
        <w:rPr>
          <w:i/>
          <w:color w:val="555C6E"/>
        </w:rPr>
        <w:t>1. *"Tamper-evident audit log"* — log is wired (2026-05-17) but not cryptographically chained.</w:t>
      </w:r>
    </w:p>
    <w:p>
      <w:r>
        <w:rPr>
          <w:i/>
          <w:color w:val="555C6E"/>
        </w:rPr>
        <w:t>2. *"Cross-contamination is impossible by design — a wall"* — vault is single-tenant; "wall" overstates.</w:t>
      </w:r>
    </w:p>
    <w:p>
      <w:r>
        <w:rPr>
          <w:i/>
          <w:color w:val="555C6E"/>
        </w:rPr>
        <w:t>3. *"No model ever trains on your client's data"* — true under current Google Gemini paid-tier terms; lock the version in the DPA.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  <w:color w:val="1A2A4A"/>
          <w:sz w:val="32"/>
        </w:rPr>
        <w:t>Investor / acquirer track</w:t>
      </w:r>
    </w:p>
    <w:p>
      <w:r>
        <w:t xml:space="preserve">Bruno is </w:t>
      </w:r>
      <w:r>
        <w:rPr>
          <w:b/>
        </w:rPr>
        <w:t>not raising</w:t>
      </w:r>
      <w:r>
        <w:t>. These exist for the rare strategic conversation.</w:t>
      </w:r>
    </w:p>
    <w:p>
      <w:pPr>
        <w:pStyle w:val="ListBullet"/>
      </w:pPr>
      <w:r>
        <w:rPr>
          <w:color w:val="1A2A4A"/>
          <w:u w:val="single"/>
        </w:rPr>
        <w:t>`investor/pitch-outline.md`</w:t>
      </w:r>
      <w:r>
        <w:t xml:space="preserve"> — 10-slide structure.</w:t>
      </w:r>
    </w:p>
    <w:p>
      <w:pPr>
        <w:pStyle w:val="ListBullet"/>
      </w:pPr>
      <w:r>
        <w:t xml:space="preserve">A pitch deck PPTX is generated from the outline — see </w:t>
      </w:r>
      <w:r>
        <w:rPr>
          <w:color w:val="1A2A4A"/>
          <w:u w:val="single"/>
        </w:rPr>
        <w:t>`exports/`</w:t>
      </w:r>
      <w:r>
        <w:t>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  <w:color w:val="1A2A4A"/>
          <w:sz w:val="32"/>
        </w:rPr>
        <w:t>Generated exports</w:t>
      </w:r>
    </w:p>
    <w:p>
      <w:r>
        <w:t>Pandoc-style outputs of the markdown docs above, regenerated when the source changes.</w:t>
      </w:r>
    </w:p>
    <w:p>
      <w:pPr>
        <w:pStyle w:val="ListBullet"/>
      </w:pPr>
      <w:r>
        <w:rPr>
          <w:color w:val="1A2A4A"/>
          <w:u w:val="single"/>
        </w:rPr>
        <w:t>`exports/`</w:t>
      </w:r>
      <w:r>
        <w:t xml:space="preserve"> — DOCX and PPTX outputs.</w:t>
      </w:r>
    </w:p>
    <w:p>
      <w:r>
        <w:t xml:space="preserve">To regenerate: </w:t>
      </w:r>
      <w:r>
        <w:rPr>
          <w:rFonts w:ascii="Consolas" w:hAnsi="Consolas"/>
          <w:color w:val="1A2A4A"/>
        </w:rPr>
        <w:t>python scripts/build_docs.py</w:t>
      </w:r>
      <w:r>
        <w:t xml:space="preserve"> (creates DOCX + PPTX from the canonical markdown).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r>
        <w:rPr>
          <w:b/>
          <w:color w:val="1A2A4A"/>
          <w:sz w:val="32"/>
        </w:rPr>
        <w:t>What this index deliberately does not do</w:t>
      </w:r>
    </w:p>
    <w:p>
      <w:pPr>
        <w:pStyle w:val="ListBullet"/>
      </w:pPr>
      <w:r>
        <w:t>Duplicate content. Each fact lives in exactly one source file.</w:t>
      </w:r>
    </w:p>
    <w:p>
      <w:pPr>
        <w:pStyle w:val="ListBullet"/>
      </w:pPr>
      <w:r>
        <w:t>Time-stamp every doc. Strategy and state are dated; the rest evolve with the code.</w:t>
      </w:r>
    </w:p>
    <w:p>
      <w:pPr>
        <w:pStyle w:val="ListBullet"/>
      </w:pPr>
      <w:r>
        <w:t>Hide unfinished work. The state doc is honest about vapor — keep it that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