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A4A"/>
          <w:sz w:val="56"/>
        </w:rPr>
        <w:t>Kairos — Commercialization strategy</w:t>
      </w:r>
    </w:p>
    <w:p>
      <w:r>
        <w:rPr>
          <w:b/>
          <w:color w:val="1A2A4A"/>
          <w:sz w:val="40"/>
        </w:rPr>
        <w:t>Kairos — Commercialization strategy</w:t>
      </w:r>
    </w:p>
    <w:p>
      <w:r>
        <w:t>_As of 2026-05-17. Owner: Bruno. Scope: solo/lifestyle business._</w:t>
      </w:r>
    </w:p>
    <w:p>
      <w:r>
        <w:rPr>
          <w:b/>
          <w:color w:val="1A2A4A"/>
          <w:sz w:val="32"/>
        </w:rPr>
        <w:t>Shape of the business</w:t>
      </w:r>
    </w:p>
    <w:p>
      <w:r>
        <w:t xml:space="preserve">Kairos is being commercialized as a </w:t>
      </w:r>
      <w:r>
        <w:rPr>
          <w:b/>
        </w:rPr>
        <w:t>solo / lifestyle business</w:t>
      </w:r>
      <w:r>
        <w:t>.</w:t>
      </w:r>
    </w:p>
    <w:p>
      <w:pPr>
        <w:pStyle w:val="ListBullet"/>
      </w:pPr>
      <w:r>
        <w:t xml:space="preserve">Target: </w:t>
      </w:r>
      <w:r>
        <w:rPr>
          <w:b/>
        </w:rPr>
        <w:t>$30–80k MRR within 12 months</w:t>
      </w:r>
      <w:r>
        <w:t xml:space="preserve"> (~$600k–$1M ARR ceiling at this configuration).</w:t>
      </w:r>
    </w:p>
    <w:p>
      <w:pPr>
        <w:pStyle w:val="ListBullet"/>
      </w:pPr>
      <w:r>
        <w:t>Bruno stays solo, with at most one part-time contractor after $30k MRR.</w:t>
      </w:r>
    </w:p>
    <w:p>
      <w:pPr>
        <w:pStyle w:val="ListBullet"/>
      </w:pPr>
      <w:r>
        <w:t>No fundraising. No SOC2 in year one. Optimize for cashflow per hour, not category leadership.</w:t>
      </w:r>
    </w:p>
    <w:p>
      <w:pPr>
        <w:pStyle w:val="ListBullet"/>
      </w:pPr>
      <w:r>
        <w:t>~30 hrs/week sustained, not 60. The lifestyle constraint is real.</w:t>
      </w:r>
    </w:p>
    <w:p>
      <w:r>
        <w:rPr>
          <w:b/>
          <w:color w:val="1A2A4A"/>
          <w:sz w:val="32"/>
        </w:rPr>
        <w:t>Wedge #1 (months 1–4) — Fractional CFOs / fractional CXOs</w:t>
      </w:r>
    </w:p>
    <w:p>
      <w:pPr>
        <w:pStyle w:val="ListBullet"/>
      </w:pPr>
      <w:r>
        <w:t xml:space="preserve">ACV </w:t>
      </w:r>
      <w:r>
        <w:rPr>
          <w:b/>
        </w:rPr>
        <w:t>$2.4–4.8k/yr per seat</w:t>
      </w:r>
      <w:r>
        <w:t>.</w:t>
      </w:r>
    </w:p>
    <w:p>
      <w:pPr>
        <w:pStyle w:val="ListBullet"/>
      </w:pPr>
      <w:r>
        <w:t xml:space="preserve">Reachable on LinkedIn, CFO Connect (Spendesk-run), </w:t>
      </w:r>
      <w:r>
        <w:rPr>
          <w:rFonts w:ascii="Consolas" w:hAnsi="Consolas"/>
          <w:color w:val="1A2A4A"/>
        </w:rPr>
        <w:t>r/fractionalCFO</w:t>
      </w:r>
      <w:r>
        <w:t>, Pilot/Paro alumni networks.</w:t>
      </w:r>
    </w:p>
    <w:p>
      <w:pPr>
        <w:pStyle w:val="ListBullet"/>
      </w:pPr>
      <w:r>
        <w:t xml:space="preserve">Beachhead workflow: </w:t>
      </w:r>
      <w:r>
        <w:rPr>
          <w:b/>
        </w:rPr>
        <w:t>per-client brain isolation + approval-before-send + Board Pack Drafter</w:t>
      </w:r>
      <w:r>
        <w:t>.</w:t>
      </w:r>
    </w:p>
    <w:p>
      <w:pPr>
        <w:pStyle w:val="ListBullet"/>
      </w:pPr>
      <w:r>
        <w:t>Buyer's #1 fear: cross-client send disaster ("I almost sent Client A's runway numbers to Client B").</w:t>
      </w:r>
    </w:p>
    <w:p>
      <w:pPr>
        <w:pStyle w:val="ListBullet"/>
      </w:pPr>
      <w:r>
        <w:t>No SOC2 required for logo #1. Clean security page is sufficient.</w:t>
      </w:r>
    </w:p>
    <w:p>
      <w:pPr>
        <w:pStyle w:val="ListBullet"/>
      </w:pPr>
      <w:r>
        <w:t xml:space="preserve">Pricing: </w:t>
      </w:r>
      <w:r>
        <w:rPr>
          <w:b/>
        </w:rPr>
        <w:t>$199 Solo / $399 Practice / $1,500 setup</w:t>
      </w:r>
      <w:r>
        <w:t xml:space="preserve"> (concierge ingest of last 3 engagements).</w:t>
      </w:r>
    </w:p>
    <w:p>
      <w:r>
        <w:rPr>
          <w:b/>
          <w:color w:val="1A2A4A"/>
          <w:sz w:val="32"/>
        </w:rPr>
        <w:t>Wedge #2 (layer at $10k MRR, ~month 5+) — Boutique M&amp;A advisors</w:t>
      </w:r>
    </w:p>
    <w:p>
      <w:pPr>
        <w:pStyle w:val="ListBullet"/>
      </w:pPr>
      <w:r>
        <w:t xml:space="preserve">ACV </w:t>
      </w:r>
      <w:r>
        <w:rPr>
          <w:b/>
        </w:rPr>
        <w:t>$4–8k/seat/yr</w:t>
      </w:r>
      <w:r>
        <w:t>, deal teams of 2–10.</w:t>
      </w:r>
    </w:p>
    <w:p>
      <w:pPr>
        <w:pStyle w:val="ListBullet"/>
      </w:pPr>
      <w:r>
        <w:t>FINRA Rule 2210 + SEC Marketing Rule give the approval-gate a regulatory hook.</w:t>
      </w:r>
    </w:p>
    <w:p>
      <w:pPr>
        <w:pStyle w:val="ListBullet"/>
      </w:pPr>
      <w:r>
        <w:t>Requires SOC2 Type 1 + broker-dealer-of-record review (60–90 day gate per logo).</w:t>
      </w:r>
    </w:p>
    <w:p>
      <w:pPr>
        <w:pStyle w:val="ListBullet"/>
      </w:pPr>
      <w:r>
        <w:t>Distribution: founder-led outbound on LinkedIn + Axial + ACG chapter events.</w:t>
      </w:r>
    </w:p>
    <w:p>
      <w:pPr>
        <w:pStyle w:val="ListBullet"/>
      </w:pPr>
      <w:r>
        <w:t>Park until CFO MRR funds the SOC2 spend.</w:t>
      </w:r>
    </w:p>
    <w:p>
      <w:r>
        <w:rPr>
          <w:b/>
          <w:color w:val="1A2A4A"/>
          <w:sz w:val="32"/>
        </w:rPr>
        <w:t>Explicitly not pursuing</w:t>
      </w:r>
    </w:p>
    <w:p>
      <w:pPr>
        <w:pStyle w:val="ListBullet"/>
      </w:pPr>
      <w:r>
        <w:rPr>
          <w:b/>
        </w:rPr>
        <w:t>D2C personal AI</w:t>
      </w:r>
      <w:r>
        <w:t xml:space="preserve"> — dead category. Apple Intelligence, Gemini-in-Workspace, ChatGPT Tasks ate the $20/mo tier.</w:t>
      </w:r>
    </w:p>
    <w:p>
      <w:pPr>
        <w:pStyle w:val="ListBullet"/>
      </w:pPr>
      <w:r>
        <w:rPr>
          <w:b/>
        </w:rPr>
        <w:t>Prosumer "chief of staff"</w:t>
      </w:r>
      <w:r>
        <w:t xml:space="preserve"> — Lindy / Cove / Martin / Cora are funded and direct. Crowded and fickle.</w:t>
      </w:r>
    </w:p>
    <w:p>
      <w:pPr>
        <w:pStyle w:val="ListBullet"/>
      </w:pPr>
      <w:r>
        <w:rPr>
          <w:b/>
        </w:rPr>
        <w:t>Open-source-with-paid-hosting</w:t>
      </w:r>
      <w:r>
        <w:t xml:space="preserve"> — too slow for "ASAP." 18+ months to revenue.</w:t>
      </w:r>
    </w:p>
    <w:p>
      <w:pPr>
        <w:pStyle w:val="ListBullet"/>
      </w:pPr>
      <w:r>
        <w:rPr>
          <w:b/>
        </w:rPr>
        <w:t>OEM / white-label</w:t>
      </w:r>
      <w:r>
        <w:t xml:space="preserve"> — sales cycle too long for solo founder.</w:t>
      </w:r>
    </w:p>
    <w:p>
      <w:pPr>
        <w:pStyle w:val="ListBullet"/>
      </w:pPr>
      <w:r>
        <w:rPr>
          <w:b/>
        </w:rPr>
        <w:t>Single-family offices</w:t>
      </w:r>
      <w:r>
        <w:t xml:space="preserve"> — slow ramp, revisit once 2 finance reference logos exist.</w:t>
      </w:r>
    </w:p>
    <w:p>
      <w:pPr>
        <w:pStyle w:val="ListBullet"/>
      </w:pPr>
      <w:r>
        <w:rPr>
          <w:b/>
        </w:rPr>
        <w:t>Healthcare verticals</w:t>
      </w:r>
      <w:r>
        <w:t xml:space="preserve"> — HIPAA + BAA tax not worth it for solo.</w:t>
      </w:r>
    </w:p>
    <w:p>
      <w:pPr>
        <w:pStyle w:val="ListBullet"/>
      </w:pPr>
      <w:r>
        <w:rPr>
          <w:b/>
        </w:rPr>
        <w:t>VC deal memos</w:t>
      </w:r>
      <w:r>
        <w:t xml:space="preserve"> — Hebbia owns it.</w:t>
      </w:r>
    </w:p>
    <w:p>
      <w:pPr>
        <w:pStyle w:val="ListBullet"/>
      </w:pPr>
      <w:r>
        <w:rPr>
          <w:b/>
        </w:rPr>
        <w:t>AI engineering teams (HumanLayer space)</w:t>
      </w:r>
      <w:r>
        <w:t xml:space="preserve"> — too commoditized, technical buyer is fickle.</w:t>
      </w:r>
    </w:p>
    <w:p>
      <w:r>
        <w:rPr>
          <w:b/>
          <w:color w:val="1A2A4A"/>
          <w:sz w:val="32"/>
        </w:rPr>
        <w:t>Why this shape</w:t>
      </w:r>
    </w:p>
    <w:p>
      <w:r>
        <w:t xml:space="preserve">Apple Intelligence / Gemini-in-Workspace / ChatGPT Tasks ate the consumer tier. Kairos's real moat — </w:t>
      </w:r>
      <w:r>
        <w:rPr>
          <w:b/>
        </w:rPr>
        <w:t>approval gate on persisted LangGraph interrupts + markdown-as-source-of-truth + multi-channel queue</w:t>
      </w:r>
      <w:r>
        <w:t xml:space="preserve"> — is wasted on consumers who want magic, and exactly what regulated solo professionals will pay $2k+/mo for without blinking.</w:t>
      </w:r>
    </w:p>
    <w:p>
      <w:r>
        <w:t>The wedge fits the moat: fractional CFOs juggle 4–8 clients, live in fear of cross-contamination, are reachable on public channels, and have budget. M&amp;A advisors have higher ACV but a 60–90 day compliance gate per logo that doesn't fit a solo cashflow target.</w:t>
      </w:r>
    </w:p>
    <w:p>
      <w:r>
        <w:rPr>
          <w:b/>
          <w:color w:val="1A2A4A"/>
          <w:sz w:val="32"/>
        </w:rPr>
        <w:t>How to apply (decision filter)</w:t>
      </w:r>
    </w:p>
    <w:p>
      <w:r>
        <w:t xml:space="preserve">Frame </w:t>
      </w:r>
      <w:r>
        <w:rPr>
          <w:b/>
        </w:rPr>
        <w:t>all product, copy, and feature decisions</w:t>
      </w:r>
      <w:r>
        <w:t xml:space="preserve"> toward fractional CFOs first.</w:t>
      </w:r>
    </w:p>
    <w:p>
      <w:pPr>
        <w:pStyle w:val="ListBullet"/>
      </w:pPr>
      <w:r>
        <w:t xml:space="preserve">External words: </w:t>
      </w:r>
      <w:r>
        <w:rPr>
          <w:b/>
        </w:rPr>
        <w:t>client</w:t>
      </w:r>
      <w:r>
        <w:t xml:space="preserve">, </w:t>
      </w:r>
      <w:r>
        <w:rPr>
          <w:b/>
        </w:rPr>
        <w:t>board</w:t>
      </w:r>
      <w:r>
        <w:t xml:space="preserve">, </w:t>
      </w:r>
      <w:r>
        <w:rPr>
          <w:b/>
        </w:rPr>
        <w:t>compliance</w:t>
      </w:r>
      <w:r>
        <w:t xml:space="preserve">, </w:t>
      </w:r>
      <w:r>
        <w:rPr>
          <w:b/>
        </w:rPr>
        <w:t>audit</w:t>
      </w:r>
      <w:r>
        <w:t xml:space="preserve">, </w:t>
      </w:r>
      <w:r>
        <w:rPr>
          <w:b/>
        </w:rPr>
        <w:t>engagement</w:t>
      </w:r>
      <w:r>
        <w:t xml:space="preserve">, </w:t>
      </w:r>
      <w:r>
        <w:rPr>
          <w:b/>
        </w:rPr>
        <w:t>portfolio</w:t>
      </w:r>
      <w:r>
        <w:t>.</w:t>
      </w:r>
    </w:p>
    <w:p>
      <w:pPr>
        <w:pStyle w:val="ListBullet"/>
      </w:pPr>
      <w:r>
        <w:t xml:space="preserve">Banned external words: </w:t>
      </w:r>
      <w:r>
        <w:rPr>
          <w:b/>
        </w:rPr>
        <w:t>personal AI</w:t>
      </w:r>
      <w:r>
        <w:t xml:space="preserve">, </w:t>
      </w:r>
      <w:r>
        <w:rPr>
          <w:b/>
        </w:rPr>
        <w:t>second brain</w:t>
      </w:r>
      <w:r>
        <w:t xml:space="preserve">, </w:t>
      </w:r>
      <w:r>
        <w:rPr>
          <w:b/>
        </w:rPr>
        <w:t>knowledge graph</w:t>
      </w:r>
      <w:r>
        <w:t xml:space="preserve">, </w:t>
      </w:r>
      <w:r>
        <w:rPr>
          <w:b/>
        </w:rPr>
        <w:t>agent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wikilink</w:t>
      </w:r>
      <w:r>
        <w:t>.</w:t>
      </w:r>
    </w:p>
    <w:p>
      <w:pPr>
        <w:pStyle w:val="ListBullet"/>
      </w:pPr>
      <w:r>
        <w:t>Bury from the external surface: PowerShell, CLI, gesture input, voice, open-source posture.</w:t>
      </w:r>
    </w:p>
    <w:p>
      <w:pPr>
        <w:pStyle w:val="ListBullet"/>
      </w:pPr>
      <w:r>
        <w:t xml:space="preserve">Keep on the demo: </w:t>
      </w:r>
      <w:r>
        <w:rPr>
          <w:b/>
        </w:rPr>
        <w:t>the approvals view</w:t>
      </w:r>
      <w:r>
        <w:t xml:space="preserve">, </w:t>
      </w:r>
      <w:r>
        <w:rPr>
          <w:b/>
        </w:rPr>
        <w:t>the audit log timeline</w:t>
      </w:r>
      <w:r>
        <w:t xml:space="preserve">, </w:t>
      </w:r>
      <w:r>
        <w:rPr>
          <w:b/>
        </w:rPr>
        <w:t>the side-by-side per-client switch</w:t>
      </w:r>
      <w:r>
        <w:t>. The graph viz stays — it demos relationship-across-portfolio well to CFOs.</w:t>
      </w:r>
    </w:p>
    <w:p>
      <w:r>
        <w:rPr>
          <w:b/>
          <w:color w:val="1A2A4A"/>
          <w:sz w:val="32"/>
        </w:rPr>
        <w:t>Brand and domain</w:t>
      </w:r>
    </w:p>
    <w:p>
      <w:pPr>
        <w:pStyle w:val="ListBullet"/>
      </w:pPr>
      <w:r>
        <w:t xml:space="preserve">Domain: </w:t>
      </w:r>
      <w:r>
        <w:rPr>
          <w:b/>
        </w:rPr>
        <w:t>signkairos.com</w:t>
      </w:r>
      <w:r>
        <w:t xml:space="preserve"> (purchased 2026-05-17). Defensive: also grab </w:t>
      </w:r>
      <w:r>
        <w:rPr>
          <w:rFonts w:ascii="Consolas" w:hAnsi="Consolas"/>
          <w:color w:val="1A2A4A"/>
        </w:rPr>
        <w:t>kairossign.com</w:t>
      </w:r>
      <w:r>
        <w:t xml:space="preserve"> as a 301 redirect.</w:t>
      </w:r>
    </w:p>
    <w:p>
      <w:pPr>
        <w:pStyle w:val="ListBullet"/>
      </w:pPr>
      <w:r>
        <w:t xml:space="preserve">External product line: </w:t>
      </w:r>
      <w:r>
        <w:rPr>
          <w:b/>
        </w:rPr>
        <w:t>Kairos</w:t>
      </w:r>
      <w:r>
        <w:t xml:space="preserve"> for end-customer; "Kairos Engine" for any developer-facing later tier.</w:t>
      </w:r>
    </w:p>
    <w:p>
      <w:pPr>
        <w:pStyle w:val="ListBullet"/>
      </w:pPr>
      <w:r>
        <w:t xml:space="preserve">Marketing site: </w:t>
      </w:r>
      <w:r>
        <w:rPr>
          <w:rFonts w:ascii="Consolas" w:hAnsi="Consolas"/>
          <w:color w:val="1A2A4A"/>
        </w:rPr>
        <w:t>signkairos.com</w:t>
      </w:r>
      <w:r>
        <w:t xml:space="preserve">. Product: </w:t>
      </w:r>
      <w:r>
        <w:rPr>
          <w:rFonts w:ascii="Consolas" w:hAnsi="Consolas"/>
          <w:color w:val="1A2A4A"/>
        </w:rPr>
        <w:t>app.signkairos.com</w:t>
      </w:r>
      <w:r>
        <w:t>.</w:t>
      </w:r>
    </w:p>
    <w:p>
      <w:r>
        <w:rPr>
          <w:b/>
          <w:color w:val="1A2A4A"/>
          <w:sz w:val="32"/>
        </w:rPr>
        <w:t>90-day plan (high 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2880"/>
          </w:tcPr>
          <w:p>
            <w:r>
              <w:t>**Build the plumbing**</w:t>
            </w:r>
          </w:p>
        </w:tc>
        <w:tc>
          <w:tcPr>
            <w:tcW w:type="dxa" w:w="2880"/>
          </w:tcPr>
          <w:p>
            <w:r>
              <w:t>Weeks 1–2</w:t>
            </w:r>
          </w:p>
        </w:tc>
        <w:tc>
          <w:tcPr>
            <w:tcW w:type="dxa" w:w="2880"/>
          </w:tcPr>
          <w:p>
            <w:r>
              <w:t>Audit log wired ✅, multi-tenant scoping, Clerk auth, Stripe, Fly.io deploy</w:t>
            </w:r>
          </w:p>
        </w:tc>
      </w:tr>
      <w:tr>
        <w:tc>
          <w:tcPr>
            <w:tcW w:type="dxa" w:w="2880"/>
          </w:tcPr>
          <w:p>
            <w:r>
              <w:t>**Build the wedge feature**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Per-Client Board Pack Drafter</w:t>
            </w:r>
          </w:p>
        </w:tc>
      </w:tr>
      <w:tr>
        <w:tc>
          <w:tcPr>
            <w:tcW w:type="dxa" w:w="2880"/>
          </w:tcPr>
          <w:p>
            <w:r>
              <w:t>**Site + first cold emails**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Loom + 30 cold emails/week to fractional CFOs</w:t>
            </w:r>
          </w:p>
        </w:tc>
      </w:tr>
      <w:tr>
        <w:tc>
          <w:tcPr>
            <w:tcW w:type="dxa" w:w="2880"/>
          </w:tcPr>
          <w:p>
            <w:r>
              <w:t>**First paid pilots**</w:t>
            </w:r>
          </w:p>
        </w:tc>
        <w:tc>
          <w:tcPr>
            <w:tcW w:type="dxa" w:w="2880"/>
          </w:tcPr>
          <w:p>
            <w:r>
              <w:t>Weeks 5–8</w:t>
            </w:r>
          </w:p>
        </w:tc>
        <w:tc>
          <w:tcPr>
            <w:tcW w:type="dxa" w:w="2880"/>
          </w:tcPr>
          <w:p>
            <w:r>
              <w:t>3 logos at $1,500 setup + $399/mo</w:t>
            </w:r>
          </w:p>
        </w:tc>
      </w:tr>
      <w:tr>
        <w:tc>
          <w:tcPr>
            <w:tcW w:type="dxa" w:w="2880"/>
          </w:tcPr>
          <w:p>
            <w:r>
              <w:t>**Content + scale outbound**</w:t>
            </w:r>
          </w:p>
        </w:tc>
        <w:tc>
          <w:tcPr>
            <w:tcW w:type="dxa" w:w="2880"/>
          </w:tcPr>
          <w:p>
            <w:r>
              <w:t>Weeks 9–13</w:t>
            </w:r>
          </w:p>
        </w:tc>
        <w:tc>
          <w:tcPr>
            <w:tcW w:type="dxa" w:w="2880"/>
          </w:tcPr>
          <w:p>
            <w:r>
              <w:t>Public pricing, LinkedIn cadence, 60 emails/week</w:t>
            </w:r>
          </w:p>
        </w:tc>
      </w:tr>
    </w:tbl>
    <w:p>
      <w:r>
        <w:t xml:space="preserve">End-of-90 target: </w:t>
      </w:r>
      <w:r>
        <w:rPr>
          <w:b/>
        </w:rPr>
        <w:t>6–8 paying logos, $3–4k MRR, ~$20k earned</w:t>
      </w:r>
      <w:r>
        <w:t>.</w:t>
      </w:r>
    </w:p>
    <w:p>
      <w:r>
        <w:rPr>
          <w:b/>
          <w:color w:val="1A2A4A"/>
          <w:sz w:val="32"/>
        </w:rPr>
        <w:t>Related docs</w:t>
      </w:r>
    </w:p>
    <w:p>
      <w:pPr>
        <w:pStyle w:val="ListBullet"/>
      </w:pPr>
      <w:r>
        <w:rPr>
          <w:color w:val="1A2A4A"/>
          <w:u w:val="single"/>
        </w:rPr>
        <w:t>`docs/business/state.md`</w:t>
      </w:r>
      <w:r>
        <w:t xml:space="preserve"> — what the codebase actually does today.</w:t>
      </w:r>
    </w:p>
    <w:p>
      <w:pPr>
        <w:pStyle w:val="ListBullet"/>
      </w:pPr>
      <w:r>
        <w:rPr>
          <w:color w:val="1A2A4A"/>
          <w:u w:val="single"/>
        </w:rPr>
        <w:t>`marketing/hero.md`</w:t>
      </w:r>
      <w:r>
        <w:t xml:space="preserve"> — homepage copy.</w:t>
      </w:r>
    </w:p>
    <w:p>
      <w:pPr>
        <w:pStyle w:val="ListBullet"/>
      </w:pPr>
      <w:r>
        <w:rPr>
          <w:color w:val="1A2A4A"/>
          <w:u w:val="single"/>
        </w:rPr>
        <w:t>`marketing/loom-script.md`</w:t>
      </w:r>
      <w:r>
        <w:t xml:space="preserve"> — 90-second demo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