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2A4A"/>
          <w:sz w:val="56"/>
        </w:rPr>
        <w:t>Kairos — Sales one-pager</w:t>
      </w:r>
    </w:p>
    <w:p>
      <w:r>
        <w:rPr>
          <w:b/>
          <w:color w:val="1A2A4A"/>
          <w:sz w:val="40"/>
        </w:rPr>
        <w:t>Kairos — The AI workspace for fractional CFOs</w:t>
      </w:r>
    </w:p>
    <w:p>
      <w:r>
        <w:t>_One-pager. For the fractional-CFO buyer running 4–8 client engagements._</w:t>
      </w:r>
    </w:p>
    <w:p>
      <w:pPr>
        <w:jc w:val="center"/>
      </w:pPr>
      <w:r>
        <w:t>────────────────────────────────────────</w:t>
      </w:r>
    </w:p>
    <w:p>
      <w:r>
        <w:rPr>
          <w:b/>
          <w:color w:val="1A2A4A"/>
          <w:sz w:val="32"/>
        </w:rPr>
        <w:t>The problem</w:t>
      </w:r>
    </w:p>
    <w:p>
      <w:r>
        <w:t>You are running 4–8 client engagements at once. Each one needs its own context — its own runway model, its own board narrative, its own paper trail.</w:t>
      </w:r>
    </w:p>
    <w:p>
      <w:r>
        <w:t xml:space="preserve">Generic AI tools weren't built for this. They blur clients together, send things you didn't approve, and leave no record your malpractice carrier will accept. The thing you're most afraid of is the one thing they don't prevent: </w:t>
      </w:r>
      <w:r>
        <w:rPr>
          <w:b/>
        </w:rPr>
        <w:t>sending Client A's burn numbers in an email to Client B</w:t>
      </w:r>
      <w:r>
        <w:t>.</w:t>
      </w:r>
    </w:p>
    <w:p>
      <w:pPr>
        <w:jc w:val="center"/>
      </w:pPr>
      <w:r>
        <w:t>────────────────────────────────────────</w:t>
      </w:r>
    </w:p>
    <w:p>
      <w:r>
        <w:rPr>
          <w:b/>
          <w:color w:val="1A2A4A"/>
          <w:sz w:val="32"/>
        </w:rPr>
        <w:t>What Kairos is</w:t>
      </w:r>
    </w:p>
    <w:p>
      <w:r>
        <w:t>A per-client AI workspace that:</w:t>
      </w:r>
    </w:p>
    <w:p>
      <w:pPr>
        <w:pStyle w:val="ListBullet"/>
      </w:pPr>
      <w:r>
        <w:rPr>
          <w:b/>
        </w:rPr>
        <w:t>Remembers every engagement.</w:t>
      </w:r>
      <w:r>
        <w:t xml:space="preserve"> Each client gets its own space. Meetings, variance commentary, investor drafts, board updates — kept in client-scoped markdown the assistant reads from but never crosses.</w:t>
      </w:r>
    </w:p>
    <w:p>
      <w:pPr>
        <w:pStyle w:val="ListBullet"/>
      </w:pPr>
      <w:r>
        <w:rPr>
          <w:b/>
        </w:rPr>
        <w:t>Drafts the work, then waits.</w:t>
      </w:r>
      <w:r>
        <w:t xml:space="preserve"> Board pack, investor reply, variance email — drafted. Not sent. Every outbound action pauses in your approval queue with a 5-minute countdown until you tap approve.</w:t>
      </w:r>
    </w:p>
    <w:p>
      <w:pPr>
        <w:pStyle w:val="ListBullet"/>
      </w:pPr>
      <w:r>
        <w:rPr>
          <w:b/>
        </w:rPr>
        <w:t>Keeps a record that holds up.</w:t>
      </w:r>
      <w:r>
        <w:t xml:space="preserve"> Every action — drafted, approved, denied, sent — appended to an exportable log. PDF for any engagement-end review.</w:t>
      </w:r>
    </w:p>
    <w:p>
      <w:pPr>
        <w:jc w:val="center"/>
      </w:pPr>
      <w:r>
        <w:t>────────────────────────────────────────</w:t>
      </w:r>
    </w:p>
    <w:p>
      <w:r>
        <w:rPr>
          <w:b/>
          <w:color w:val="1A2A4A"/>
          <w:sz w:val="32"/>
        </w:rPr>
        <w:t>How it's different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Other AI tools</w:t>
            </w:r>
          </w:p>
        </w:tc>
        <w:tc>
          <w:tcPr>
            <w:tcW w:type="dxa" w:w="4320"/>
          </w:tcPr>
          <w:p>
            <w:r>
              <w:rPr>
                <w:b/>
              </w:rPr>
              <w:t>Kairos</w:t>
            </w:r>
          </w:p>
        </w:tc>
      </w:tr>
      <w:tr>
        <w:tc>
          <w:tcPr>
            <w:tcW w:type="dxa" w:w="4320"/>
          </w:tcPr>
          <w:p>
            <w:r>
              <w:t>One workspace, one memory</w:t>
            </w:r>
          </w:p>
        </w:tc>
        <w:tc>
          <w:tcPr>
            <w:tcW w:type="dxa" w:w="4320"/>
          </w:tcPr>
          <w:p>
            <w:r>
              <w:t>One workspace **per client engagement**</w:t>
            </w:r>
          </w:p>
        </w:tc>
      </w:tr>
      <w:tr>
        <w:tc>
          <w:tcPr>
            <w:tcW w:type="dxa" w:w="4320"/>
          </w:tcPr>
          <w:p>
            <w:r>
              <w:t>Sends when asked</w:t>
            </w:r>
          </w:p>
        </w:tc>
        <w:tc>
          <w:tcPr>
            <w:tcW w:type="dxa" w:w="4320"/>
          </w:tcPr>
          <w:p>
            <w:r>
              <w:t>Sends only when **you tap approve**</w:t>
            </w:r>
          </w:p>
        </w:tc>
      </w:tr>
      <w:tr>
        <w:tc>
          <w:tcPr>
            <w:tcW w:type="dxa" w:w="4320"/>
          </w:tcPr>
          <w:p>
            <w:r>
              <w:t>No record, or a record full of model chatter</w:t>
            </w:r>
          </w:p>
        </w:tc>
        <w:tc>
          <w:tcPr>
            <w:tcW w:type="dxa" w:w="4320"/>
          </w:tcPr>
          <w:p>
            <w:r>
              <w:t>Exportable, engagement-scoped audit trail</w:t>
            </w:r>
          </w:p>
        </w:tc>
      </w:tr>
      <w:tr>
        <w:tc>
          <w:tcPr>
            <w:tcW w:type="dxa" w:w="4320"/>
          </w:tcPr>
          <w:p>
            <w:r>
              <w:t>Trains on whatever you put in</w:t>
            </w:r>
          </w:p>
        </w:tc>
        <w:tc>
          <w:tcPr>
            <w:tcW w:type="dxa" w:w="4320"/>
          </w:tcPr>
          <w:p>
            <w:r>
              <w:t>Contractually never trains on your client data</w:t>
            </w:r>
          </w:p>
        </w:tc>
      </w:tr>
    </w:tbl>
    <w:p>
      <w:r>
        <w:t xml:space="preserve">The thing the marketing language hides: under the hood, every "send this" is a paused agent step you can let through, edit, or kill. The default is </w:t>
      </w:r>
      <w:r>
        <w:rPr>
          <w:i/>
        </w:rPr>
        <w:t>kill</w:t>
      </w:r>
      <w:r>
        <w:t>.</w:t>
      </w:r>
    </w:p>
    <w:p>
      <w:pPr>
        <w:jc w:val="center"/>
      </w:pPr>
      <w:r>
        <w:t>────────────────────────────────────────</w:t>
      </w:r>
    </w:p>
    <w:p>
      <w:r>
        <w:rPr>
          <w:b/>
          <w:color w:val="1A2A4A"/>
          <w:sz w:val="32"/>
        </w:rPr>
        <w:t>Pricing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Solo</w:t>
            </w:r>
          </w:p>
        </w:tc>
        <w:tc>
          <w:tcPr>
            <w:tcW w:type="dxa" w:w="4320"/>
          </w:tcPr>
          <w:p>
            <w:r>
              <w:rPr>
                <w:b/>
              </w:rPr>
              <w:t>Practice</w:t>
            </w:r>
          </w:p>
        </w:tc>
      </w:tr>
      <w:tr>
        <w:tc>
          <w:tcPr>
            <w:tcW w:type="dxa" w:w="4320"/>
          </w:tcPr>
          <w:p>
            <w:r>
              <w:t>**$199 / mo**</w:t>
            </w:r>
          </w:p>
        </w:tc>
        <w:tc>
          <w:tcPr>
            <w:tcW w:type="dxa" w:w="4320"/>
          </w:tcPr>
          <w:p>
            <w:r>
              <w:t>**$399 / mo**</w:t>
            </w:r>
          </w:p>
        </w:tc>
      </w:tr>
      <w:tr>
        <w:tc>
          <w:tcPr>
            <w:tcW w:type="dxa" w:w="4320"/>
          </w:tcPr>
          <w:p>
            <w:r>
              <w:t>1 user, up to 6 client engagements</w:t>
            </w:r>
          </w:p>
        </w:tc>
        <w:tc>
          <w:tcPr>
            <w:tcW w:type="dxa" w:w="4320"/>
          </w:tcPr>
          <w:p>
            <w:r>
              <w:t>1 user, unlimited engagements</w:t>
            </w:r>
          </w:p>
        </w:tc>
      </w:tr>
      <w:tr>
        <w:tc>
          <w:tcPr>
            <w:tcW w:type="dxa" w:w="4320"/>
          </w:tcPr>
          <w:p>
            <w:r>
              <w:t>Email support</w:t>
            </w:r>
          </w:p>
        </w:tc>
        <w:tc>
          <w:tcPr>
            <w:tcW w:type="dxa" w:w="4320"/>
          </w:tcPr>
          <w:p>
            <w:r>
              <w:t>Slack support, audit log PDF export</w:t>
            </w:r>
          </w:p>
        </w:tc>
      </w:tr>
    </w:tbl>
    <w:p>
      <w:r>
        <w:rPr>
          <w:b/>
        </w:rPr>
        <w:t>Concierge onboarding</w:t>
      </w:r>
      <w:r>
        <w:t xml:space="preserve"> — $1,500 one-time. 90 minutes together; we ingest your last three engagements live. Most practices skip this; the ones that don't stop using it within a month.</w:t>
      </w:r>
    </w:p>
    <w:p>
      <w:pPr>
        <w:jc w:val="center"/>
      </w:pPr>
      <w:r>
        <w:t>────────────────────────────────────────</w:t>
      </w:r>
    </w:p>
    <w:p>
      <w:r>
        <w:rPr>
          <w:b/>
          <w:color w:val="1A2A4A"/>
          <w:sz w:val="32"/>
        </w:rPr>
        <w:t>What you can stop using</w:t>
      </w:r>
    </w:p>
    <w:p>
      <w:pPr>
        <w:pStyle w:val="ListBullet"/>
      </w:pPr>
      <w:r>
        <w:t>The "client mention me on this email" workaround for not crossing wires.</w:t>
      </w:r>
    </w:p>
    <w:p>
      <w:pPr>
        <w:pStyle w:val="ListBullet"/>
      </w:pPr>
      <w:r>
        <w:t>The Notion/Google Doc template for "what we discussed last month."</w:t>
      </w:r>
    </w:p>
    <w:p>
      <w:pPr>
        <w:pStyle w:val="ListBullet"/>
      </w:pPr>
      <w:r>
        <w:t>The end-of-engagement scramble to reconstruct what was decided when.</w:t>
      </w:r>
    </w:p>
    <w:p>
      <w:pPr>
        <w:jc w:val="center"/>
      </w:pPr>
      <w:r>
        <w:t>────────────────────────────────────────</w:t>
      </w:r>
    </w:p>
    <w:p>
      <w:r>
        <w:rPr>
          <w:b/>
          <w:color w:val="1A2A4A"/>
          <w:sz w:val="32"/>
        </w:rPr>
        <w:t>What's *not* in this version (so you can decide honestly)</w:t>
      </w:r>
    </w:p>
    <w:p>
      <w:pPr>
        <w:pStyle w:val="ListBullet"/>
      </w:pPr>
      <w:r>
        <w:rPr>
          <w:b/>
        </w:rPr>
        <w:t>No native Gmail or Calendar integration yet.</w:t>
      </w:r>
      <w:r>
        <w:t xml:space="preserve"> Coming. Today, drafts copy-paste.</w:t>
      </w:r>
    </w:p>
    <w:p>
      <w:pPr>
        <w:pStyle w:val="ListBullet"/>
      </w:pPr>
      <w:r>
        <w:rPr>
          <w:b/>
        </w:rPr>
        <w:t>No mobile app.</w:t>
      </w:r>
      <w:r>
        <w:t xml:space="preserve"> Web works on phones; native app is on the roadmap.</w:t>
      </w:r>
    </w:p>
    <w:p>
      <w:pPr>
        <w:pStyle w:val="ListBullet"/>
      </w:pPr>
      <w:r>
        <w:rPr>
          <w:b/>
        </w:rPr>
        <w:t>No SOC 2 report.</w:t>
      </w:r>
      <w:r>
        <w:t xml:space="preserve"> Not required for the typical fractional-CFO engagement. We're EU-hosted and provide a GDPR Art. 28 DPA. SOC 2 Type 1 is on the roadmap for the M&amp;A advisor tier.</w:t>
      </w:r>
    </w:p>
    <w:p>
      <w:pPr>
        <w:jc w:val="center"/>
      </w:pPr>
      <w:r>
        <w:t>────────────────────────────────────────</w:t>
      </w:r>
    </w:p>
    <w:p>
      <w:r>
        <w:rPr>
          <w:b/>
          <w:color w:val="1A2A4A"/>
          <w:sz w:val="32"/>
        </w:rPr>
        <w:t>Take the next step</w:t>
      </w:r>
    </w:p>
    <w:p>
      <w:pPr>
        <w:pStyle w:val="ListBullet"/>
      </w:pPr>
      <w:r>
        <w:rPr>
          <w:b/>
        </w:rPr>
        <w:t>Watch the 90-second demo:</w:t>
      </w:r>
      <w:r>
        <w:t xml:space="preserve"> signkairos.com</w:t>
      </w:r>
    </w:p>
    <w:p>
      <w:pPr>
        <w:pStyle w:val="ListBullet"/>
      </w:pPr>
      <w:r>
        <w:rPr>
          <w:b/>
        </w:rPr>
        <w:t>Book a 30-minute walkthrough:</w:t>
      </w:r>
      <w:r>
        <w:t xml:space="preserve"> </w:t>
      </w:r>
      <w:r>
        <w:rPr>
          <w:color w:val="1A2A4A"/>
          <w:u w:val="single"/>
        </w:rPr>
        <w:t>calendly.com/signkairos/30min</w:t>
      </w:r>
    </w:p>
    <w:p>
      <w:pPr>
        <w:pStyle w:val="ListBullet"/>
      </w:pPr>
      <w:r>
        <w:rPr>
          <w:b/>
        </w:rPr>
        <w:t>Email a question:</w:t>
      </w:r>
      <w:r>
        <w:t xml:space="preserve"> hello@signkairos.com</w:t>
      </w:r>
    </w:p>
    <w:p>
      <w:r>
        <w:t>Bring one engagement you'd want to scope. We'll walk through how Kairos would remember it, draft the next board update, and queue the send for your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