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A2A4A"/>
          <w:sz w:val="56"/>
        </w:rPr>
        <w:t>Kairos — Commercialization roadmap</w:t>
      </w:r>
    </w:p>
    <w:p>
      <w:r>
        <w:rPr>
          <w:b/>
          <w:color w:val="1A2A4A"/>
          <w:sz w:val="40"/>
        </w:rPr>
        <w:t>Kairos — Commercialization roadmap</w:t>
      </w:r>
    </w:p>
    <w:p>
      <w:r>
        <w:t>_As of 2026-05-18. Owner: Bruno. Solo / lifestyle business._</w:t>
      </w:r>
    </w:p>
    <w:p>
      <w:r>
        <w:t xml:space="preserve">This is the </w:t>
      </w:r>
      <w:r>
        <w:rPr>
          <w:b/>
        </w:rPr>
        <w:t>active</w:t>
      </w:r>
      <w:r>
        <w:t xml:space="preserve"> roadmap, scoped to commercialization. It supersedes </w:t>
      </w:r>
      <w:r>
        <w:rPr>
          <w:color w:val="1A2A4A"/>
          <w:u w:val="single"/>
        </w:rPr>
        <w:t>`07-roadmap.md`</w:t>
      </w:r>
      <w:r>
        <w:t>, which describes the original (pre-commercialization) JARVIS phases and is now historical.</w:t>
      </w:r>
    </w:p>
    <w:p>
      <w:r>
        <w:t>Three time horizons. One paying customer in 60 days is the only milestone that matters.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r>
        <w:rPr>
          <w:b/>
          <w:color w:val="1A2A4A"/>
          <w:sz w:val="32"/>
        </w:rPr>
        <w:t>Where we are today (T=0, 2026-05-18)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>
              <w:t>Product</w:t>
            </w:r>
          </w:p>
        </w:tc>
        <w:tc>
          <w:tcPr>
            <w:tcW w:type="dxa" w:w="4320"/>
          </w:tcPr>
          <w:p>
            <w:r>
              <w:t>Phase 1 works end-to-end on a single tenant</w:t>
            </w:r>
          </w:p>
        </w:tc>
      </w:tr>
      <w:tr>
        <w:tc>
          <w:tcPr>
            <w:tcW w:type="dxa" w:w="4320"/>
          </w:tcPr>
          <w:p>
            <w:r>
              <w:t>Audit log</w:t>
            </w:r>
          </w:p>
        </w:tc>
        <w:tc>
          <w:tcPr>
            <w:tcW w:type="dxa" w:w="4320"/>
          </w:tcPr>
          <w:p>
            <w:r>
              <w:t>Wired 2026-05-17 — tool calls, results, approvals</w:t>
            </w:r>
          </w:p>
        </w:tc>
      </w:tr>
      <w:tr>
        <w:tc>
          <w:tcPr>
            <w:tcW w:type="dxa" w:w="4320"/>
          </w:tcPr>
          <w:p>
            <w:r>
              <w:t>Domain</w:t>
            </w:r>
          </w:p>
        </w:tc>
        <w:tc>
          <w:tcPr>
            <w:tcW w:type="dxa" w:w="4320"/>
          </w:tcPr>
          <w:p>
            <w:r>
              <w:t>signkairos.com purchased, landing page live</w:t>
            </w:r>
          </w:p>
        </w:tc>
      </w:tr>
      <w:tr>
        <w:tc>
          <w:tcPr>
            <w:tcW w:type="dxa" w:w="4320"/>
          </w:tcPr>
          <w:p>
            <w:r>
              <w:t>Customers</w:t>
            </w:r>
          </w:p>
        </w:tc>
        <w:tc>
          <w:tcPr>
            <w:tcW w:type="dxa" w:w="4320"/>
          </w:tcPr>
          <w:p>
            <w:r>
              <w:t>0 paying</w:t>
            </w:r>
          </w:p>
        </w:tc>
      </w:tr>
      <w:tr>
        <w:tc>
          <w:tcPr>
            <w:tcW w:type="dxa" w:w="4320"/>
          </w:tcPr>
          <w:p>
            <w:r>
              <w:t>MRR</w:t>
            </w:r>
          </w:p>
        </w:tc>
        <w:tc>
          <w:tcPr>
            <w:tcW w:type="dxa" w:w="4320"/>
          </w:tcPr>
          <w:p>
            <w:r>
              <w:t>$0</w:t>
            </w:r>
          </w:p>
        </w:tc>
      </w:tr>
    </w:tbl>
    <w:p>
      <w:r>
        <w:t>What's broken: multi-tenant scoping, auth, hosted deploy, billing, native send. ~5–7 weeks of plumbing per the state doc.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r>
        <w:rPr>
          <w:b/>
          <w:color w:val="1A2A4A"/>
          <w:sz w:val="32"/>
        </w:rPr>
        <w:t>Horizon 1 — 90 days. Goal: 6–8 paying logos at $3–4k MRR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Window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Outcome</w:t>
            </w:r>
          </w:p>
        </w:tc>
      </w:tr>
      <w:tr>
        <w:tc>
          <w:tcPr>
            <w:tcW w:type="dxa" w:w="2880"/>
          </w:tcPr>
          <w:p>
            <w:r>
              <w:t>**A. Plumbing**</w:t>
            </w:r>
          </w:p>
        </w:tc>
        <w:tc>
          <w:tcPr>
            <w:tcW w:type="dxa" w:w="2880"/>
          </w:tcPr>
          <w:p>
            <w:r>
              <w:t>Wks 1–2</w:t>
            </w:r>
          </w:p>
        </w:tc>
        <w:tc>
          <w:tcPr>
            <w:tcW w:type="dxa" w:w="2880"/>
          </w:tcPr>
          <w:p>
            <w:r>
              <w:t>Multi-tenant scoping. Clerk auth. Stripe. Fly.io deploy. Audit log hash-chain.</w:t>
            </w:r>
          </w:p>
        </w:tc>
      </w:tr>
      <w:tr>
        <w:tc>
          <w:tcPr>
            <w:tcW w:type="dxa" w:w="2880"/>
          </w:tcPr>
          <w:p>
            <w:r>
              <w:t>**B. Wedge feature**</w:t>
            </w:r>
          </w:p>
        </w:tc>
        <w:tc>
          <w:tcPr>
            <w:tcW w:type="dxa" w:w="2880"/>
          </w:tcPr>
          <w:p>
            <w:r>
              <w:t>Wk 3</w:t>
            </w:r>
          </w:p>
        </w:tc>
        <w:tc>
          <w:tcPr>
            <w:tcW w:type="dxa" w:w="2880"/>
          </w:tcPr>
          <w:p>
            <w:r>
              <w:t>Per-Client Board Pack Drafter shippable.</w:t>
            </w:r>
          </w:p>
        </w:tc>
      </w:tr>
      <w:tr>
        <w:tc>
          <w:tcPr>
            <w:tcW w:type="dxa" w:w="2880"/>
          </w:tcPr>
          <w:p>
            <w:r>
              <w:t>**C. Site + cold outbound**</w:t>
            </w:r>
          </w:p>
        </w:tc>
        <w:tc>
          <w:tcPr>
            <w:tcW w:type="dxa" w:w="2880"/>
          </w:tcPr>
          <w:p>
            <w:r>
              <w:t>Wk 4</w:t>
            </w:r>
          </w:p>
        </w:tc>
        <w:tc>
          <w:tcPr>
            <w:tcW w:type="dxa" w:w="2880"/>
          </w:tcPr>
          <w:p>
            <w:r>
              <w:t>Loom recorded. 30 cold emails/wk to fractional CFOs.</w:t>
            </w:r>
          </w:p>
        </w:tc>
      </w:tr>
      <w:tr>
        <w:tc>
          <w:tcPr>
            <w:tcW w:type="dxa" w:w="2880"/>
          </w:tcPr>
          <w:p>
            <w:r>
              <w:t>**D. First paid pilots**</w:t>
            </w:r>
          </w:p>
        </w:tc>
        <w:tc>
          <w:tcPr>
            <w:tcW w:type="dxa" w:w="2880"/>
          </w:tcPr>
          <w:p>
            <w:r>
              <w:t>Wks 5–8</w:t>
            </w:r>
          </w:p>
        </w:tc>
        <w:tc>
          <w:tcPr>
            <w:tcW w:type="dxa" w:w="2880"/>
          </w:tcPr>
          <w:p>
            <w:r>
              <w:t>3 logos at $1,500 setup + $399/mo.</w:t>
            </w:r>
          </w:p>
        </w:tc>
      </w:tr>
      <w:tr>
        <w:tc>
          <w:tcPr>
            <w:tcW w:type="dxa" w:w="2880"/>
          </w:tcPr>
          <w:p>
            <w:r>
              <w:t>**E. Content + scale**</w:t>
            </w:r>
          </w:p>
        </w:tc>
        <w:tc>
          <w:tcPr>
            <w:tcW w:type="dxa" w:w="2880"/>
          </w:tcPr>
          <w:p>
            <w:r>
              <w:t>Wks 9–13</w:t>
            </w:r>
          </w:p>
        </w:tc>
        <w:tc>
          <w:tcPr>
            <w:tcW w:type="dxa" w:w="2880"/>
          </w:tcPr>
          <w:p>
            <w:r>
              <w:t>Public pricing. LinkedIn cadence. 60 emails/wk.</w:t>
            </w:r>
          </w:p>
        </w:tc>
      </w:tr>
    </w:tbl>
    <w:p>
      <w:r>
        <w:rPr>
          <w:b/>
        </w:rPr>
        <w:t>End-of-90 target:</w:t>
      </w:r>
      <w:r>
        <w:t xml:space="preserve"> 6–8 paying logos · $3–4k MRR · ~$20k earned.</w:t>
      </w:r>
    </w:p>
    <w:p>
      <w:r>
        <w:rPr>
          <w:b/>
          <w:color w:val="101014"/>
          <w:sz w:val="26"/>
        </w:rPr>
        <w:t>Definition of done for the plumbing phase</w:t>
      </w:r>
    </w:p>
    <w:p>
      <w:r>
        <w:t>Each item below is a ship-blocker for the first paid customer.</w:t>
      </w:r>
    </w:p>
    <w:p>
      <w:pPr>
        <w:pStyle w:val="ListBullet"/>
      </w:pPr>
      <w:r>
        <w:t xml:space="preserve">[ ] </w:t>
      </w:r>
      <w:r>
        <w:rPr>
          <w:rFonts w:ascii="Consolas" w:hAnsi="Consolas"/>
          <w:color w:val="1A2A4A"/>
        </w:rPr>
        <w:t>tenant_id</w:t>
      </w:r>
      <w:r>
        <w:t xml:space="preserve"> scoping on every memory/harness route.</w:t>
      </w:r>
    </w:p>
    <w:p>
      <w:pPr>
        <w:pStyle w:val="ListBullet"/>
      </w:pPr>
      <w:r>
        <w:t xml:space="preserve">[ ] Clerk-authenticated </w:t>
      </w:r>
      <w:r>
        <w:rPr>
          <w:rFonts w:ascii="Consolas" w:hAnsi="Consolas"/>
          <w:color w:val="1A2A4A"/>
        </w:rPr>
        <w:t>/app</w:t>
      </w:r>
      <w:r>
        <w:t xml:space="preserve"> — no anonymous access.</w:t>
      </w:r>
    </w:p>
    <w:p>
      <w:pPr>
        <w:pStyle w:val="ListBullet"/>
      </w:pPr>
      <w:r>
        <w:t>[ ] Stripe Checkout for Solo ($199) and Practice ($399) tiers + one-time setup ($1,500).</w:t>
      </w:r>
    </w:p>
    <w:p>
      <w:pPr>
        <w:pStyle w:val="ListBullet"/>
      </w:pPr>
      <w:r>
        <w:t>[ ] Fly.io deploy with health checks. Memory + harness containerized.</w:t>
      </w:r>
    </w:p>
    <w:p>
      <w:pPr>
        <w:pStyle w:val="ListBullet"/>
      </w:pPr>
      <w:r>
        <w:t xml:space="preserve">[ ] Frontend </w:t>
      </w:r>
      <w:r>
        <w:rPr>
          <w:rFonts w:ascii="Consolas" w:hAnsi="Consolas"/>
          <w:color w:val="1A2A4A"/>
        </w:rPr>
        <w:t>apps/web/src/lib/api.ts</w:t>
      </w:r>
      <w:r>
        <w:t xml:space="preserve"> reads base URLs from env.</w:t>
      </w:r>
    </w:p>
    <w:p>
      <w:pPr>
        <w:pStyle w:val="ListBullet"/>
      </w:pPr>
      <w:r>
        <w:t>[ ] Audit log hash-chain (each row carries prev-row hash). Removes the "tamper-evident" overpromise.</w:t>
      </w:r>
    </w:p>
    <w:p>
      <w:pPr>
        <w:pStyle w:val="ListBullet"/>
      </w:pPr>
      <w:r>
        <w:t>[ ] Vault path scoping — verified in tests, not just hoped for.</w:t>
      </w:r>
    </w:p>
    <w:p>
      <w:r>
        <w:rPr>
          <w:b/>
          <w:color w:val="101014"/>
          <w:sz w:val="26"/>
        </w:rPr>
        <w:t>Definition of done for the wedge feature</w:t>
      </w:r>
    </w:p>
    <w:p>
      <w:r>
        <w:t>The Board Pack Drafter is the demo-to-pilot hook. It must:</w:t>
      </w:r>
    </w:p>
    <w:p>
      <w:pPr>
        <w:pStyle w:val="ListBullet"/>
      </w:pPr>
      <w:r>
        <w:t>Pull from the active client's hot.md, recent meeting notes, latest P&amp;L snapshot.</w:t>
      </w:r>
    </w:p>
    <w:p>
      <w:pPr>
        <w:pStyle w:val="ListBullet"/>
      </w:pPr>
      <w:r>
        <w:t>Produce a draft with cited sources (per-claim wikilink-style references).</w:t>
      </w:r>
    </w:p>
    <w:p>
      <w:pPr>
        <w:pStyle w:val="ListBullet"/>
      </w:pPr>
      <w:r>
        <w:t>Land in the approval queue with full preview, recipient, and 5-minute countdown.</w:t>
      </w:r>
    </w:p>
    <w:p>
      <w:pPr>
        <w:pStyle w:val="ListBullet"/>
      </w:pPr>
      <w:r>
        <w:t>Render an exportable PDF for the engagement-end review on demand.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r>
        <w:rPr>
          <w:b/>
          <w:color w:val="1A2A4A"/>
          <w:sz w:val="32"/>
        </w:rPr>
        <w:t>Horizon 2 — months 4–8. Goal: $10k MRR + open Wedge #2</w:t>
      </w:r>
    </w:p>
    <w:p>
      <w:r>
        <w:t>Triggered when CFO MRR clears $10k. Until then, every hour goes to Wedge #1.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Workstream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Outcome</w:t>
            </w:r>
          </w:p>
        </w:tc>
      </w:tr>
      <w:tr>
        <w:tc>
          <w:tcPr>
            <w:tcW w:type="dxa" w:w="4320"/>
          </w:tcPr>
          <w:p>
            <w:r>
              <w:t>**Native Gmail send**</w:t>
            </w:r>
          </w:p>
        </w:tc>
        <w:tc>
          <w:tcPr>
            <w:tcW w:type="dxa" w:w="4320"/>
          </w:tcPr>
          <w:p>
            <w:r>
              <w:t>Reply, draft, send through the approval queue. Delete the "drafts work; native send doesn't" caveat.</w:t>
            </w:r>
          </w:p>
        </w:tc>
      </w:tr>
      <w:tr>
        <w:tc>
          <w:tcPr>
            <w:tcW w:type="dxa" w:w="4320"/>
          </w:tcPr>
          <w:p>
            <w:r>
              <w:t>**Native Calendar read/write**</w:t>
            </w:r>
          </w:p>
        </w:tc>
        <w:tc>
          <w:tcPr>
            <w:tcW w:type="dxa" w:w="4320"/>
          </w:tcPr>
          <w:p>
            <w:r>
              <w:t>Book follow-ups, reschedule, surface "since last meeting" context.</w:t>
            </w:r>
          </w:p>
        </w:tc>
      </w:tr>
      <w:tr>
        <w:tc>
          <w:tcPr>
            <w:tcW w:type="dxa" w:w="4320"/>
          </w:tcPr>
          <w:p>
            <w:r>
              <w:t>**Mobile approvals**</w:t>
            </w:r>
          </w:p>
        </w:tc>
        <w:tc>
          <w:tcPr>
            <w:tcW w:type="dxa" w:w="4320"/>
          </w:tcPr>
          <w:p>
            <w:r>
              <w:t>Web push or Telegram. The CFO away from a desktop must be able to approve a board pack.</w:t>
            </w:r>
          </w:p>
        </w:tc>
      </w:tr>
      <w:tr>
        <w:tc>
          <w:tcPr>
            <w:tcW w:type="dxa" w:w="4320"/>
          </w:tcPr>
          <w:p>
            <w:r>
              <w:t>**SOC 2 Type 1 prep**</w:t>
            </w:r>
          </w:p>
        </w:tc>
        <w:tc>
          <w:tcPr>
            <w:tcW w:type="dxa" w:w="4320"/>
          </w:tcPr>
          <w:p>
            <w:r>
              <w:t>Vendor onboarding (Vanta/Drata), policy library, evidence collection. ~3–6 months wall-clock.</w:t>
            </w:r>
          </w:p>
        </w:tc>
      </w:tr>
      <w:tr>
        <w:tc>
          <w:tcPr>
            <w:tcW w:type="dxa" w:w="4320"/>
          </w:tcPr>
          <w:p>
            <w:r>
              <w:t>**Boutique M&amp;A wedge — first 2 logos**</w:t>
            </w:r>
          </w:p>
        </w:tc>
        <w:tc>
          <w:tcPr>
            <w:tcW w:type="dxa" w:w="4320"/>
          </w:tcPr>
          <w:p>
            <w:r>
              <w:t>Founder-led outbound (Axial, ACG chapters). Each logo is a 60–90 day broker-dealer review.</w:t>
            </w:r>
          </w:p>
        </w:tc>
      </w:tr>
    </w:tbl>
    <w:p>
      <w:r>
        <w:rPr>
          <w:b/>
        </w:rPr>
        <w:t>End-of-month-8 target:</w:t>
      </w:r>
      <w:r>
        <w:t xml:space="preserve"> $10–15k MRR across CFO + 1–2 M&amp;A pilots.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r>
        <w:rPr>
          <w:b/>
          <w:color w:val="1A2A4A"/>
          <w:sz w:val="32"/>
        </w:rPr>
        <w:t>Horizon 3 — months 9–12. Goal: $30–80k MRR steady state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Workstream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Outcome</w:t>
            </w:r>
          </w:p>
        </w:tc>
      </w:tr>
      <w:tr>
        <w:tc>
          <w:tcPr>
            <w:tcW w:type="dxa" w:w="4320"/>
          </w:tcPr>
          <w:p>
            <w:r>
              <w:t>**Multi-seat Practice tier**</w:t>
            </w:r>
          </w:p>
        </w:tc>
        <w:tc>
          <w:tcPr>
            <w:tcW w:type="dxa" w:w="4320"/>
          </w:tcPr>
          <w:p>
            <w:r>
              <w:t>Today the Practice plan supports one user. Add real RBAC (admin / member).</w:t>
            </w:r>
          </w:p>
        </w:tc>
      </w:tr>
      <w:tr>
        <w:tc>
          <w:tcPr>
            <w:tcW w:type="dxa" w:w="4320"/>
          </w:tcPr>
          <w:p>
            <w:r>
              <w:t>**Concierge → self-serve handoff**</w:t>
            </w:r>
          </w:p>
        </w:tc>
        <w:tc>
          <w:tcPr>
            <w:tcW w:type="dxa" w:w="4320"/>
          </w:tcPr>
          <w:p>
            <w:r>
              <w:t>The $1,500 setup is the bottleneck. Convert the 90-min process into guided in-product steps.</w:t>
            </w:r>
          </w:p>
        </w:tc>
      </w:tr>
      <w:tr>
        <w:tc>
          <w:tcPr>
            <w:tcW w:type="dxa" w:w="4320"/>
          </w:tcPr>
          <w:p>
            <w:r>
              <w:t>**Acquisition channels at scale**</w:t>
            </w:r>
          </w:p>
        </w:tc>
        <w:tc>
          <w:tcPr>
            <w:tcW w:type="dxa" w:w="4320"/>
          </w:tcPr>
          <w:p>
            <w:r>
              <w:t>LinkedIn cadence + content + 1–2 paid newsletters. Outbound stays founder-led.</w:t>
            </w:r>
          </w:p>
        </w:tc>
      </w:tr>
      <w:tr>
        <w:tc>
          <w:tcPr>
            <w:tcW w:type="dxa" w:w="4320"/>
          </w:tcPr>
          <w:p>
            <w:r>
              <w:t>**Engagement-end PDF report**</w:t>
            </w:r>
          </w:p>
        </w:tc>
        <w:tc>
          <w:tcPr>
            <w:tcW w:type="dxa" w:w="4320"/>
          </w:tcPr>
          <w:p>
            <w:r>
              <w:t>Year-end, deal-end, hand-off. The single artifact that makes the audit log pay for itself.</w:t>
            </w:r>
          </w:p>
        </w:tc>
      </w:tr>
    </w:tbl>
    <w:p>
      <w:r>
        <w:rPr>
          <w:b/>
        </w:rPr>
        <w:t>End-of-12-month target:</w:t>
      </w:r>
      <w:r>
        <w:t xml:space="preserve"> 80–200 paying logos · $30–80k MRR · ~$600k–$1M ARR.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r>
        <w:rPr>
          <w:b/>
          <w:color w:val="1A2A4A"/>
          <w:sz w:val="32"/>
        </w:rPr>
        <w:t>What is explicitly *not* on this roadmap</w:t>
      </w:r>
    </w:p>
    <w:p>
      <w:r>
        <w:t>Per the strategy doc, these are off-limits — pursuing any of them dilutes the wedge.</w:t>
      </w:r>
    </w:p>
    <w:p>
      <w:pPr>
        <w:pStyle w:val="ListBullet"/>
      </w:pPr>
      <w:r>
        <w:t>D2C personal AI / chief-of-staff consumer plays.</w:t>
      </w:r>
    </w:p>
    <w:p>
      <w:pPr>
        <w:pStyle w:val="ListBullet"/>
      </w:pPr>
      <w:r>
        <w:t>Open-source-with-paid-hosting.</w:t>
      </w:r>
    </w:p>
    <w:p>
      <w:pPr>
        <w:pStyle w:val="ListBullet"/>
      </w:pPr>
      <w:r>
        <w:t>OEM / white-label.</w:t>
      </w:r>
    </w:p>
    <w:p>
      <w:pPr>
        <w:pStyle w:val="ListBullet"/>
      </w:pPr>
      <w:r>
        <w:t>Single-family offices (revisit only after 2 finance reference logos).</w:t>
      </w:r>
    </w:p>
    <w:p>
      <w:pPr>
        <w:pStyle w:val="ListBullet"/>
      </w:pPr>
      <w:r>
        <w:t>Healthcare verticals (HIPAA tax not worth it solo).</w:t>
      </w:r>
    </w:p>
    <w:p>
      <w:pPr>
        <w:pStyle w:val="ListBullet"/>
      </w:pPr>
      <w:r>
        <w:t>Anything that requires a second engineer through year one.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r>
        <w:rPr>
          <w:b/>
          <w:color w:val="1A2A4A"/>
          <w:sz w:val="32"/>
        </w:rPr>
        <w:t>Risks and the trigger that flips them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flips it</w:t>
            </w:r>
          </w:p>
        </w:tc>
      </w:tr>
      <w:tr>
        <w:tc>
          <w:tcPr>
            <w:tcW w:type="dxa" w:w="4320"/>
          </w:tcPr>
          <w:p>
            <w:r>
              <w:t>LLM provider changes training-data terms</w:t>
            </w:r>
          </w:p>
        </w:tc>
        <w:tc>
          <w:tcPr>
            <w:tcW w:type="dxa" w:w="4320"/>
          </w:tcPr>
          <w:p>
            <w:r>
              <w:t>Lock current Gemini paid-tier version in the DPA; have Anthropic + OpenAI fallback prompts ready.</w:t>
            </w:r>
          </w:p>
        </w:tc>
      </w:tr>
      <w:tr>
        <w:tc>
          <w:tcPr>
            <w:tcW w:type="dxa" w:w="4320"/>
          </w:tcPr>
          <w:p>
            <w:r>
              <w:t>Cross-client data leak before tenant scoping ships</w:t>
            </w:r>
          </w:p>
        </w:tc>
        <w:tc>
          <w:tcPr>
            <w:tcW w:type="dxa" w:w="4320"/>
          </w:tcPr>
          <w:p>
            <w:r>
              <w:t>Plumbing phase blocks every other phase. No paid customer until done.</w:t>
            </w:r>
          </w:p>
        </w:tc>
      </w:tr>
      <w:tr>
        <w:tc>
          <w:tcPr>
            <w:tcW w:type="dxa" w:w="4320"/>
          </w:tcPr>
          <w:p>
            <w:r>
              <w:t>Solo burnout at 30 hrs/wk</w:t>
            </w:r>
          </w:p>
        </w:tc>
        <w:tc>
          <w:tcPr>
            <w:tcW w:type="dxa" w:w="4320"/>
          </w:tcPr>
          <w:p>
            <w:r>
              <w:t>At $30k MRR, hire a part-time contractor (frontend or growth, not both).</w:t>
            </w:r>
          </w:p>
        </w:tc>
      </w:tr>
      <w:tr>
        <w:tc>
          <w:tcPr>
            <w:tcW w:type="dxa" w:w="4320"/>
          </w:tcPr>
          <w:p>
            <w:r>
              <w:t>"Wall" / "tamper-evident" copy is held against us</w:t>
            </w:r>
          </w:p>
        </w:tc>
        <w:tc>
          <w:tcPr>
            <w:tcW w:type="dxa" w:w="4320"/>
          </w:tcPr>
          <w:p>
            <w:r>
              <w:t>Fix in code (hash chain, tenant scoping) before the 4th cold email cycle.</w:t>
            </w:r>
          </w:p>
        </w:tc>
      </w:tr>
    </w:tbl>
    <w:p>
      <w:pPr>
        <w:jc w:val="center"/>
      </w:pPr>
      <w:r>
        <w:t>────────────────────────────────────────</w:t>
      </w:r>
    </w:p>
    <w:p>
      <w:r>
        <w:rPr>
          <w:b/>
          <w:color w:val="1A2A4A"/>
          <w:sz w:val="32"/>
        </w:rPr>
        <w:t>How this doc stays current</w:t>
      </w:r>
    </w:p>
    <w:p>
      <w:pPr>
        <w:pStyle w:val="ListBullet"/>
      </w:pPr>
      <w:r>
        <w:t>Each Friday: tick boxes for the active phase. If a box stays unticked two weeks running, write a sentence on why and decide: cut scope, push the milestone, or escalate.</w:t>
      </w:r>
    </w:p>
    <w:p>
      <w:pPr>
        <w:pStyle w:val="ListBullet"/>
      </w:pPr>
      <w:r>
        <w:t xml:space="preserve">When a horizon flips, the previous horizon's "outcome" column becomes the new baseline in </w:t>
      </w:r>
      <w:r>
        <w:rPr>
          <w:color w:val="1A2A4A"/>
          <w:u w:val="single"/>
        </w:rPr>
        <w:t>`business/state.md`</w:t>
      </w:r>
      <w:r>
        <w:t>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r>
        <w:rPr>
          <w:b/>
          <w:color w:val="1A2A4A"/>
          <w:sz w:val="32"/>
        </w:rPr>
        <w:t>Related</w:t>
      </w:r>
    </w:p>
    <w:p>
      <w:pPr>
        <w:pStyle w:val="ListBullet"/>
      </w:pPr>
      <w:r>
        <w:rPr>
          <w:color w:val="1A2A4A"/>
          <w:u w:val="single"/>
        </w:rPr>
        <w:t>`business/strategy.md`</w:t>
      </w:r>
      <w:r>
        <w:t xml:space="preserve"> — Why this wedge, why this shape.</w:t>
      </w:r>
    </w:p>
    <w:p>
      <w:pPr>
        <w:pStyle w:val="ListBullet"/>
      </w:pPr>
      <w:r>
        <w:rPr>
          <w:color w:val="1A2A4A"/>
          <w:u w:val="single"/>
        </w:rPr>
        <w:t>`business/state.md`</w:t>
      </w:r>
      <w:r>
        <w:t xml:space="preserve"> — What's true today.</w:t>
      </w:r>
    </w:p>
    <w:p>
      <w:pPr>
        <w:pStyle w:val="ListBullet"/>
      </w:pPr>
      <w:r>
        <w:rPr>
          <w:color w:val="1A2A4A"/>
          <w:u w:val="single"/>
        </w:rPr>
        <w:t>`07-roadmap.md`</w:t>
      </w:r>
      <w:r>
        <w:t xml:space="preserve"> — Historical (pre-commercialization JARVIS phases). Reference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