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RC-40 再生骨材含有率についてのご報告</w:t>
      </w:r>
    </w:p>
    <w:p>
      <w:pPr>
        <w:jc w:val="right"/>
      </w:pPr>
      <w:r>
        <w:t>令和8年10月2日</w:t>
      </w:r>
    </w:p>
    <w:p>
      <w:pPr/>
      <w:r>
        <w:t xml:space="preserve">【お客様名】　御中</w:t>
      </w:r>
    </w:p>
    <w:p>
      <w:pPr/>
      <w:r>
        <w:t xml:space="preserve">株式会社　石名坂</w:t>
      </w:r>
      <w:r>
        <w:br/>
      </w:r>
      <w:r>
        <w:t xml:space="preserve">【代表者名】　印</w:t>
      </w:r>
      <w:r>
        <w:br/>
      </w:r>
      <w:r>
        <w:t xml:space="preserve">【住所・電話番号】</w:t>
      </w:r>
    </w:p>
    <w:p>
      <w:pPr/>
      <w:r>
        <w:t xml:space="preserve">拝啓　貴社ますますご清栄のこととお喜び申し上げます。平素は格別のお引き立てを賜り、厚く御礼申し上げます。</w:t>
      </w:r>
    </w:p>
    <w:p>
      <w:pPr/>
      <w:r>
        <w:t xml:space="preserve">さて、ご依頼いただきました弊社製品「再生クラッシャラン（RC-40）」の再生骨材含有率につきまして、下記のとおりご報告申し上げます。</w:t>
      </w:r>
    </w:p>
    <w:p>
      <w:pPr/>
      <w:r>
        <w:t xml:space="preserve">敬具</w:t>
      </w:r>
    </w:p>
    <w:p>
      <w:pPr/>
      <w:r>
        <w:rPr>
          <w:b/>
        </w:rPr>
        <w:t xml:space="preserve">記</w:t>
      </w:r>
    </w:p>
    <w:p>
      <w:pPr>
        <w:pStyle w:val="Heading2"/>
      </w:pPr>
      <w:r>
        <w:t xml:space="preserve">1. 材料構成</w:t>
      </w:r>
    </w:p>
    <w:p>
      <w:pPr/>
      <w:r>
        <w:t xml:space="preserve">弊社RC-40は、再生砕石と新材の砕石を混合して製造しており、再生骨材の含有率は質量比で10%未満です。</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材料</w:t>
            </w:r>
          </w:p>
        </w:tc>
        <w:tc>
          <w:tcPr>
            <w:tcW w:w="3120" w:type="dxa"/>
            <w:shd w:val="clear" w:color="auto" w:fill="F2F2F2"/>
          </w:tcPr>
          <w:p>
            <w:pPr/>
            <w:r>
              <w:t xml:space="preserve">由来</w:t>
            </w:r>
          </w:p>
        </w:tc>
        <w:tc>
          <w:tcPr>
            <w:tcW w:w="3120" w:type="dxa"/>
            <w:shd w:val="clear" w:color="auto" w:fill="F2F2F2"/>
          </w:tcPr>
          <w:p>
            <w:pPr/>
            <w:r>
              <w:t xml:space="preserve">混合比率（質量比）</w:t>
            </w:r>
          </w:p>
        </w:tc>
      </w:tr>
      <w:tr>
        <w:tc>
          <w:tcPr>
            <w:tcW w:w="3120" w:type="dxa"/>
          </w:tcPr>
          <w:p>
            <w:pPr/>
            <w:r>
              <w:t xml:space="preserve">再生砕石</w:t>
            </w:r>
          </w:p>
        </w:tc>
        <w:tc>
          <w:tcPr>
            <w:tcW w:w="3120" w:type="dxa"/>
          </w:tcPr>
          <w:p>
            <w:pPr/>
            <w:r>
              <w:t xml:space="preserve">コンクリート塊を破砕・選別したもの</w:t>
            </w:r>
          </w:p>
        </w:tc>
        <w:tc>
          <w:tcPr>
            <w:tcW w:w="3120" w:type="dxa"/>
          </w:tcPr>
          <w:p>
            <w:pPr/>
            <w:r>
              <w:t xml:space="preserve">10%未満</w:t>
            </w:r>
          </w:p>
        </w:tc>
      </w:tr>
      <w:tr>
        <w:tc>
          <w:tcPr>
            <w:tcW w:w="3120" w:type="dxa"/>
          </w:tcPr>
          <w:p>
            <w:pPr/>
            <w:r>
              <w:t xml:space="preserve">砕石（新材）</w:t>
            </w:r>
          </w:p>
        </w:tc>
        <w:tc>
          <w:tcPr>
            <w:tcW w:w="3120" w:type="dxa"/>
          </w:tcPr>
          <w:p>
            <w:pPr/>
            <w:r>
              <w:t xml:space="preserve">天然岩を破砕したもの</w:t>
            </w:r>
          </w:p>
        </w:tc>
        <w:tc>
          <w:tcPr>
            <w:tcW w:w="3120" w:type="dxa"/>
          </w:tcPr>
          <w:p>
            <w:pPr/>
            <w:r>
              <w:t xml:space="preserve">90%以上</w:t>
            </w:r>
          </w:p>
        </w:tc>
      </w:tr>
    </w:tbl>
    <w:p>
      <w:pPr>
        <w:pStyle w:val="ListParagraph"/>
        <w:numPr>
          <w:ilvl w:val="0"/>
          <w:numId w:val="2"/>
        </w:numPr>
      </w:pPr>
      <w:r>
        <w:t xml:space="preserve">製造場所：岩手県盛岡市黒川地内　【プラント名】</w:t>
      </w:r>
    </w:p>
    <w:p>
      <w:pPr>
        <w:pStyle w:val="ListParagraph"/>
        <w:numPr>
          <w:ilvl w:val="0"/>
          <w:numId w:val="2"/>
        </w:numPr>
      </w:pPr>
      <w:r>
        <w:t xml:space="preserve">配合の管理方法：10tダンプトラックの台数により、再生砕石と砕石の投入量を管理</w:t>
      </w:r>
    </w:p>
    <w:p>
      <w:pPr>
        <w:pStyle w:val="Heading2"/>
      </w:pPr>
      <w:r>
        <w:t xml:space="preserve">2. 混合比率を定めた理由</w:t>
      </w:r>
    </w:p>
    <w:p>
      <w:pPr/>
      <w:r>
        <w:t xml:space="preserve">再生砕石の比率を10%未満としているのは、異物の混入を防ぐためです。</w:t>
      </w:r>
    </w:p>
    <w:p>
      <w:pPr/>
      <w:r>
        <w:t xml:space="preserve">コンクリート二次製品にはプラスチック製スペーサーや鉄筋の結束線が含まれ、破砕・選別を経ても微量が残ることがあります。弊社では、再生砕石を農道の敷砂利に使用した際にこれらが表面に現れ、敷砂利をはがして対応した経験が複数回あります。</w:t>
      </w:r>
    </w:p>
    <w:p>
      <w:pPr/>
      <w:r>
        <w:t xml:space="preserve">この経験を踏まえ、再生資源を活用しながら異物が目立たない比率として、現在の配合を採用しています。国土交通省「コンクリート副産物の再生利用に関する用途別品質基準」も、プラスチック片や金属などの異物が混入しないよう十分注意するよう求めています。</w:t>
      </w:r>
    </w:p>
    <w:p>
      <w:pPr>
        <w:pStyle w:val="Heading2"/>
      </w:pPr>
      <w:r>
        <w:t xml:space="preserve">3. 品質試験結果</w:t>
      </w:r>
    </w:p>
    <w:p>
      <w:pPr/>
      <w:r>
        <w:t xml:space="preserve">本配合のRC-40は、規格値のある全項目で合格しています。試験は株式会社伊藤組 機材センター試験課が、令和8年5月13日～23日に実施しました。</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試験項目</w:t>
            </w:r>
          </w:p>
        </w:tc>
        <w:tc>
          <w:tcPr>
            <w:tcW w:w="1872" w:type="dxa"/>
            <w:shd w:val="clear" w:color="auto" w:fill="F2F2F2"/>
          </w:tcPr>
          <w:p>
            <w:pPr/>
            <w:r>
              <w:t xml:space="preserve">試験方法</w:t>
            </w:r>
          </w:p>
        </w:tc>
        <w:tc>
          <w:tcPr>
            <w:tcW w:w="1872" w:type="dxa"/>
            <w:shd w:val="clear" w:color="auto" w:fill="F2F2F2"/>
          </w:tcPr>
          <w:p>
            <w:pPr/>
            <w:r>
              <w:t xml:space="preserve">測定値</w:t>
            </w:r>
          </w:p>
        </w:tc>
        <w:tc>
          <w:tcPr>
            <w:tcW w:w="1872" w:type="dxa"/>
            <w:shd w:val="clear" w:color="auto" w:fill="F2F2F2"/>
          </w:tcPr>
          <w:p>
            <w:pPr/>
            <w:r>
              <w:t xml:space="preserve">規格値</w:t>
            </w:r>
          </w:p>
        </w:tc>
        <w:tc>
          <w:tcPr>
            <w:tcW w:w="1872" w:type="dxa"/>
            <w:shd w:val="clear" w:color="auto" w:fill="F2F2F2"/>
          </w:tcPr>
          <w:p>
            <w:pPr/>
            <w:r>
              <w:t xml:space="preserve">判定</w:t>
            </w:r>
          </w:p>
        </w:tc>
      </w:tr>
      <w:tr>
        <w:tc>
          <w:tcPr>
            <w:tcW w:w="1872" w:type="dxa"/>
          </w:tcPr>
          <w:p>
            <w:pPr/>
            <w:r>
              <w:t xml:space="preserve">粒度 37.5mm通過 (%)</w:t>
            </w:r>
          </w:p>
        </w:tc>
        <w:tc>
          <w:tcPr>
            <w:tcW w:w="1872" w:type="dxa"/>
          </w:tcPr>
          <w:p>
            <w:pPr/>
            <w:r>
              <w:t xml:space="preserve">JIS A 1102</w:t>
            </w:r>
          </w:p>
        </w:tc>
        <w:tc>
          <w:tcPr>
            <w:tcW w:w="1872" w:type="dxa"/>
          </w:tcPr>
          <w:p>
            <w:pPr/>
            <w:r>
              <w:t xml:space="preserve">97.7</w:t>
            </w:r>
          </w:p>
        </w:tc>
        <w:tc>
          <w:tcPr>
            <w:tcW w:w="1872" w:type="dxa"/>
          </w:tcPr>
          <w:p>
            <w:pPr/>
            <w:r>
              <w:t xml:space="preserve">95～100</w:t>
            </w:r>
          </w:p>
        </w:tc>
        <w:tc>
          <w:tcPr>
            <w:tcW w:w="1872" w:type="dxa"/>
          </w:tcPr>
          <w:p>
            <w:pPr/>
            <w:r>
              <w:t xml:space="preserve">適合</w:t>
            </w:r>
          </w:p>
        </w:tc>
      </w:tr>
      <w:tr>
        <w:tc>
          <w:tcPr>
            <w:tcW w:w="1872" w:type="dxa"/>
          </w:tcPr>
          <w:p>
            <w:pPr/>
            <w:r>
              <w:t xml:space="preserve">粒度 19mm通過 (%)</w:t>
            </w:r>
          </w:p>
        </w:tc>
        <w:tc>
          <w:tcPr>
            <w:tcW w:w="1872" w:type="dxa"/>
          </w:tcPr>
          <w:p>
            <w:pPr/>
            <w:r>
              <w:t xml:space="preserve">JIS A 1102</w:t>
            </w:r>
          </w:p>
        </w:tc>
        <w:tc>
          <w:tcPr>
            <w:tcW w:w="1872" w:type="dxa"/>
          </w:tcPr>
          <w:p>
            <w:pPr/>
            <w:r>
              <w:t xml:space="preserve">64.2</w:t>
            </w:r>
          </w:p>
        </w:tc>
        <w:tc>
          <w:tcPr>
            <w:tcW w:w="1872" w:type="dxa"/>
          </w:tcPr>
          <w:p>
            <w:pPr/>
            <w:r>
              <w:t xml:space="preserve">50～80</w:t>
            </w:r>
          </w:p>
        </w:tc>
        <w:tc>
          <w:tcPr>
            <w:tcW w:w="1872" w:type="dxa"/>
          </w:tcPr>
          <w:p>
            <w:pPr/>
            <w:r>
              <w:t xml:space="preserve">適合</w:t>
            </w:r>
          </w:p>
        </w:tc>
      </w:tr>
      <w:tr>
        <w:tc>
          <w:tcPr>
            <w:tcW w:w="1872" w:type="dxa"/>
          </w:tcPr>
          <w:p>
            <w:pPr/>
            <w:r>
              <w:t xml:space="preserve">粒度 4.75mm通過 (%)</w:t>
            </w:r>
          </w:p>
        </w:tc>
        <w:tc>
          <w:tcPr>
            <w:tcW w:w="1872" w:type="dxa"/>
          </w:tcPr>
          <w:p>
            <w:pPr/>
            <w:r>
              <w:t xml:space="preserve">JIS A 1102</w:t>
            </w:r>
          </w:p>
        </w:tc>
        <w:tc>
          <w:tcPr>
            <w:tcW w:w="1872" w:type="dxa"/>
          </w:tcPr>
          <w:p>
            <w:pPr/>
            <w:r>
              <w:t xml:space="preserve">20.6</w:t>
            </w:r>
          </w:p>
        </w:tc>
        <w:tc>
          <w:tcPr>
            <w:tcW w:w="1872" w:type="dxa"/>
          </w:tcPr>
          <w:p>
            <w:pPr/>
            <w:r>
              <w:t xml:space="preserve">15～40</w:t>
            </w:r>
          </w:p>
        </w:tc>
        <w:tc>
          <w:tcPr>
            <w:tcW w:w="1872" w:type="dxa"/>
          </w:tcPr>
          <w:p>
            <w:pPr/>
            <w:r>
              <w:t xml:space="preserve">適合</w:t>
            </w:r>
          </w:p>
        </w:tc>
      </w:tr>
      <w:tr>
        <w:tc>
          <w:tcPr>
            <w:tcW w:w="1872" w:type="dxa"/>
          </w:tcPr>
          <w:p>
            <w:pPr/>
            <w:r>
              <w:t xml:space="preserve">粒度 2.36mm通過 (%)</w:t>
            </w:r>
          </w:p>
        </w:tc>
        <w:tc>
          <w:tcPr>
            <w:tcW w:w="1872" w:type="dxa"/>
          </w:tcPr>
          <w:p>
            <w:pPr/>
            <w:r>
              <w:t xml:space="preserve">JIS A 1102</w:t>
            </w:r>
          </w:p>
        </w:tc>
        <w:tc>
          <w:tcPr>
            <w:tcW w:w="1872" w:type="dxa"/>
          </w:tcPr>
          <w:p>
            <w:pPr/>
            <w:r>
              <w:t xml:space="preserve">9.9</w:t>
            </w:r>
          </w:p>
        </w:tc>
        <w:tc>
          <w:tcPr>
            <w:tcW w:w="1872" w:type="dxa"/>
          </w:tcPr>
          <w:p>
            <w:pPr/>
            <w:r>
              <w:t xml:space="preserve">5～25</w:t>
            </w:r>
          </w:p>
        </w:tc>
        <w:tc>
          <w:tcPr>
            <w:tcW w:w="1872" w:type="dxa"/>
          </w:tcPr>
          <w:p>
            <w:pPr/>
            <w:r>
              <w:t xml:space="preserve">適合</w:t>
            </w:r>
          </w:p>
        </w:tc>
      </w:tr>
      <w:tr>
        <w:tc>
          <w:tcPr>
            <w:tcW w:w="1872" w:type="dxa"/>
          </w:tcPr>
          <w:p>
            <w:pPr/>
            <w:r>
              <w:t xml:space="preserve">すり減り減量 (%)</w:t>
            </w:r>
          </w:p>
        </w:tc>
        <w:tc>
          <w:tcPr>
            <w:tcW w:w="1872" w:type="dxa"/>
          </w:tcPr>
          <w:p>
            <w:pPr/>
            <w:r>
              <w:t xml:space="preserve">JIS A 1121</w:t>
            </w:r>
          </w:p>
        </w:tc>
        <w:tc>
          <w:tcPr>
            <w:tcW w:w="1872" w:type="dxa"/>
          </w:tcPr>
          <w:p>
            <w:pPr/>
            <w:r>
              <w:t xml:space="preserve">21.6</w:t>
            </w:r>
          </w:p>
        </w:tc>
        <w:tc>
          <w:tcPr>
            <w:tcW w:w="1872" w:type="dxa"/>
          </w:tcPr>
          <w:p>
            <w:pPr/>
            <w:r>
              <w:t xml:space="preserve">50以下</w:t>
            </w:r>
          </w:p>
        </w:tc>
        <w:tc>
          <w:tcPr>
            <w:tcW w:w="1872" w:type="dxa"/>
          </w:tcPr>
          <w:p>
            <w:pPr/>
            <w:r>
              <w:t xml:space="preserve">適合</w:t>
            </w:r>
          </w:p>
        </w:tc>
      </w:tr>
      <w:tr>
        <w:tc>
          <w:tcPr>
            <w:tcW w:w="1872" w:type="dxa"/>
          </w:tcPr>
          <w:p>
            <w:pPr/>
            <w:r>
              <w:t xml:space="preserve">塑性指数</w:t>
            </w:r>
          </w:p>
        </w:tc>
        <w:tc>
          <w:tcPr>
            <w:tcW w:w="1872" w:type="dxa"/>
          </w:tcPr>
          <w:p>
            <w:pPr/>
            <w:r>
              <w:t xml:space="preserve">JIS A 1205</w:t>
            </w:r>
          </w:p>
        </w:tc>
        <w:tc>
          <w:tcPr>
            <w:tcW w:w="1872" w:type="dxa"/>
          </w:tcPr>
          <w:p>
            <w:pPr/>
            <w:r>
              <w:t xml:space="preserve">NP</w:t>
            </w:r>
          </w:p>
        </w:tc>
        <w:tc>
          <w:tcPr>
            <w:tcW w:w="1872" w:type="dxa"/>
          </w:tcPr>
          <w:p>
            <w:pPr/>
            <w:r>
              <w:t xml:space="preserve">6以下</w:t>
            </w:r>
          </w:p>
        </w:tc>
        <w:tc>
          <w:tcPr>
            <w:tcW w:w="1872" w:type="dxa"/>
          </w:tcPr>
          <w:p>
            <w:pPr/>
            <w:r>
              <w:t xml:space="preserve">適合</w:t>
            </w:r>
          </w:p>
        </w:tc>
      </w:tr>
      <w:tr>
        <w:tc>
          <w:tcPr>
            <w:tcW w:w="1872" w:type="dxa"/>
          </w:tcPr>
          <w:p>
            <w:pPr/>
            <w:r>
              <w:t xml:space="preserve">修正CBR (%)</w:t>
            </w:r>
          </w:p>
        </w:tc>
        <w:tc>
          <w:tcPr>
            <w:tcW w:w="1872" w:type="dxa"/>
          </w:tcPr>
          <w:p>
            <w:pPr/>
            <w:r>
              <w:t xml:space="preserve">JIS A 1211</w:t>
            </w:r>
          </w:p>
        </w:tc>
        <w:tc>
          <w:tcPr>
            <w:tcW w:w="1872" w:type="dxa"/>
          </w:tcPr>
          <w:p>
            <w:pPr/>
            <w:r>
              <w:t xml:space="preserve">71.3</w:t>
            </w:r>
          </w:p>
        </w:tc>
        <w:tc>
          <w:tcPr>
            <w:tcW w:w="1872" w:type="dxa"/>
          </w:tcPr>
          <w:p>
            <w:pPr/>
            <w:r>
              <w:t xml:space="preserve">20（30）以上</w:t>
            </w:r>
          </w:p>
        </w:tc>
        <w:tc>
          <w:tcPr>
            <w:tcW w:w="1872" w:type="dxa"/>
          </w:tcPr>
          <w:p>
            <w:pPr/>
            <w:r>
              <w:t xml:space="preserve">適合</w:t>
            </w:r>
          </w:p>
        </w:tc>
      </w:tr>
      <w:tr>
        <w:tc>
          <w:tcPr>
            <w:tcW w:w="1872" w:type="dxa"/>
          </w:tcPr>
          <w:p>
            <w:pPr/>
            <w:r>
              <w:t xml:space="preserve">表乾密度 (g/cm³)</w:t>
            </w:r>
          </w:p>
        </w:tc>
        <w:tc>
          <w:tcPr>
            <w:tcW w:w="1872" w:type="dxa"/>
          </w:tcPr>
          <w:p>
            <w:pPr/>
            <w:r>
              <w:t xml:space="preserve">JIS A 1110</w:t>
            </w:r>
          </w:p>
        </w:tc>
        <w:tc>
          <w:tcPr>
            <w:tcW w:w="1872" w:type="dxa"/>
          </w:tcPr>
          <w:p>
            <w:pPr/>
            <w:r>
              <w:t xml:space="preserve">2.657</w:t>
            </w:r>
          </w:p>
        </w:tc>
        <w:tc>
          <w:tcPr>
            <w:tcW w:w="1872" w:type="dxa"/>
          </w:tcPr>
          <w:p>
            <w:pPr/>
            <w:r>
              <w:t xml:space="preserve">－</w:t>
            </w:r>
          </w:p>
        </w:tc>
        <w:tc>
          <w:tcPr>
            <w:tcW w:w="1872" w:type="dxa"/>
          </w:tcPr>
          <w:p>
            <w:pPr/>
            <w:r>
              <w:t xml:space="preserve">－</w:t>
            </w:r>
          </w:p>
        </w:tc>
      </w:tr>
      <w:tr>
        <w:tc>
          <w:tcPr>
            <w:tcW w:w="1872" w:type="dxa"/>
          </w:tcPr>
          <w:p>
            <w:pPr/>
            <w:r>
              <w:t xml:space="preserve">吸水率 (%)</w:t>
            </w:r>
          </w:p>
        </w:tc>
        <w:tc>
          <w:tcPr>
            <w:tcW w:w="1872" w:type="dxa"/>
          </w:tcPr>
          <w:p>
            <w:pPr/>
            <w:r>
              <w:t xml:space="preserve">JIS A 1110</w:t>
            </w:r>
          </w:p>
        </w:tc>
        <w:tc>
          <w:tcPr>
            <w:tcW w:w="1872" w:type="dxa"/>
          </w:tcPr>
          <w:p>
            <w:pPr/>
            <w:r>
              <w:t xml:space="preserve">3.20</w:t>
            </w:r>
          </w:p>
        </w:tc>
        <w:tc>
          <w:tcPr>
            <w:tcW w:w="1872" w:type="dxa"/>
          </w:tcPr>
          <w:p>
            <w:pPr/>
            <w:r>
              <w:t xml:space="preserve">－</w:t>
            </w:r>
          </w:p>
        </w:tc>
        <w:tc>
          <w:tcPr>
            <w:tcW w:w="1872" w:type="dxa"/>
          </w:tcPr>
          <w:p>
            <w:pPr/>
            <w:r>
              <w:t xml:space="preserve">－</w:t>
            </w:r>
          </w:p>
        </w:tc>
      </w:tr>
      <w:tr>
        <w:tc>
          <w:tcPr>
            <w:tcW w:w="1872" w:type="dxa"/>
          </w:tcPr>
          <w:p>
            <w:pPr/>
            <w:r>
              <w:t xml:space="preserve">最大乾燥密度 (g/cm³)</w:t>
            </w:r>
          </w:p>
        </w:tc>
        <w:tc>
          <w:tcPr>
            <w:tcW w:w="1872" w:type="dxa"/>
          </w:tcPr>
          <w:p>
            <w:pPr/>
            <w:r>
              <w:t xml:space="preserve">JIS A 1210</w:t>
            </w:r>
          </w:p>
        </w:tc>
        <w:tc>
          <w:tcPr>
            <w:tcW w:w="1872" w:type="dxa"/>
          </w:tcPr>
          <w:p>
            <w:pPr/>
            <w:r>
              <w:t xml:space="preserve">2.117</w:t>
            </w:r>
          </w:p>
        </w:tc>
        <w:tc>
          <w:tcPr>
            <w:tcW w:w="1872" w:type="dxa"/>
          </w:tcPr>
          <w:p>
            <w:pPr/>
            <w:r>
              <w:t xml:space="preserve">－</w:t>
            </w:r>
          </w:p>
        </w:tc>
        <w:tc>
          <w:tcPr>
            <w:tcW w:w="1872" w:type="dxa"/>
          </w:tcPr>
          <w:p>
            <w:pPr/>
            <w:r>
              <w:t xml:space="preserve">－</w:t>
            </w:r>
          </w:p>
        </w:tc>
      </w:tr>
      <w:tr>
        <w:tc>
          <w:tcPr>
            <w:tcW w:w="1872" w:type="dxa"/>
          </w:tcPr>
          <w:p>
            <w:pPr/>
            <w:r>
              <w:t xml:space="preserve">最適含水比 (%)</w:t>
            </w:r>
          </w:p>
        </w:tc>
        <w:tc>
          <w:tcPr>
            <w:tcW w:w="1872" w:type="dxa"/>
          </w:tcPr>
          <w:p>
            <w:pPr/>
            <w:r>
              <w:t xml:space="preserve">JIS A 1210</w:t>
            </w:r>
          </w:p>
        </w:tc>
        <w:tc>
          <w:tcPr>
            <w:tcW w:w="1872" w:type="dxa"/>
          </w:tcPr>
          <w:p>
            <w:pPr/>
            <w:r>
              <w:t xml:space="preserve">6.3</w:t>
            </w:r>
          </w:p>
        </w:tc>
        <w:tc>
          <w:tcPr>
            <w:tcW w:w="1872" w:type="dxa"/>
          </w:tcPr>
          <w:p>
            <w:pPr/>
            <w:r>
              <w:t xml:space="preserve">－</w:t>
            </w:r>
          </w:p>
        </w:tc>
        <w:tc>
          <w:tcPr>
            <w:tcW w:w="1872" w:type="dxa"/>
          </w:tcPr>
          <w:p>
            <w:pPr/>
            <w:r>
              <w:t xml:space="preserve">－</w:t>
            </w:r>
          </w:p>
        </w:tc>
      </w:tr>
    </w:tbl>
    <w:p>
      <w:pPr>
        <w:pStyle w:val="Heading2"/>
      </w:pPr>
      <w:r>
        <w:t xml:space="preserve">4. 岩手県共通仕様書との関係</w:t>
      </w:r>
    </w:p>
    <w:p>
      <w:pPr/>
      <w:r>
        <w:t xml:space="preserve">岩手県県土整備部共通仕様書（令和8年4月～適用）は、再生クラッシャランについて粒度と品質規格を定めており、再生骨材の含有率に関する規定はありません。弊社RC-40は、下記の規格に適合しています。</w:t>
      </w:r>
    </w:p>
    <w:p>
      <w:pPr>
        <w:pStyle w:val="ListParagraph"/>
        <w:numPr>
          <w:ilvl w:val="0"/>
          <w:numId w:val="3"/>
        </w:numPr>
      </w:pPr>
      <w:r>
        <w:t xml:space="preserve">第2編 表2-2-4「再生砕石の粒度」（RC-40）</w:t>
      </w:r>
    </w:p>
    <w:p>
      <w:pPr>
        <w:pStyle w:val="ListParagraph"/>
        <w:numPr>
          <w:ilvl w:val="0"/>
          <w:numId w:val="3"/>
        </w:numPr>
      </w:pPr>
      <w:r>
        <w:t xml:space="preserve">第3編 表3-2-16「下層路盤の品質規格」（再生クラッシャラン等：修正CBR 20%以上、PI 6以下、セメントコンクリート再生骨材のすりへり減量50%以下）</w:t>
      </w:r>
    </w:p>
    <w:p>
      <w:pPr>
        <w:pStyle w:val="Heading2"/>
      </w:pPr>
      <w:r>
        <w:t xml:space="preserve">添付資料</w:t>
      </w:r>
    </w:p>
    <w:p>
      <w:pPr>
        <w:pStyle w:val="ListParagraph"/>
        <w:numPr>
          <w:ilvl w:val="0"/>
          <w:numId w:val="4"/>
        </w:numPr>
      </w:pPr>
      <w:r>
        <w:t xml:space="preserve">再生路盤材材料試験結果報告書（RC-40、株式会社伊藤組 機材センター試験課、令和8年5月23日）</w:t>
      </w:r>
    </w:p>
    <w:p>
      <w:pPr/>
      <w:r>
        <w:t xml:space="preserve">以上</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RC-40 再生骨材含有率についてのご報告</dc:title>
  <dc:description>Claude Docs node/511f9976-61df@10 docx-w6</dc:description>
  <cp:revision>10</cp:revision>
</cp:coreProperties>
</file>