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2400"/>
        <w:gridCol w:w="2672"/>
      </w:tblGrid>
      <w:tr>
        <w:tc>
          <w:tcPr>
            <w:tcW w:type="dxa" w:w="11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9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甲社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甲社の親会社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丁社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戊</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大型ダンプを自ら所有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甲社の事業用自動車（緑ナンバー）に乗務させて、甲社が請け負った運送を行わせたいと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賃金は甲社が給与として直接支払い、源泉徴収します。運行管理者による点呼を行い、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に至った者を除く。）であってはならない」と定めているためです。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「試みの使用期間中の者（十四日を超えて引き続き使用されるに至った者を除く。）」とあるため、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乙社が、自社で製造した砕石を客先へ納入します。</w:t>
      </w:r>
    </w:p>
    <w:p>
      <w:pPr>
        <w:spacing w:after="0" w:before="0" w:line="290" w:lineRule="auto"/>
        <w:ind w:left="180"/>
      </w:pPr>
      <w:r>
        <w:rPr>
          <w:rFonts w:ascii="ＭＳ 明朝" w:eastAsia="ＭＳ 明朝" w:hAnsi="ＭＳ 明朝"/>
          <w:sz w:val="20"/>
          <w:szCs w:val="20"/>
        </w:rPr>
        <w:t xml:space="preserve">３　運転者（戊）は乙社が日雇いで雇用します。労働条件通知書（建設労働者用・日雇型／様式8）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車両は戊本人が所有する白ナンバーのダンプで、車検証上の使用者も本人のままとします。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甲社〔緑〕は、この運送に一切関与せず、運賃も収受しません。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前提5が崩れ、乙社〔白〕が甲社〔緑〕に運賃を支払う形とした場合は、</w:t>
      </w:r>
    </w:p>
    <w:p>
      <w:pPr>
        <w:spacing w:after="0" w:before="0" w:line="290" w:lineRule="auto"/>
        <w:ind w:left="180"/>
      </w:pPr>
      <w:r>
        <w:rPr>
          <w:rFonts w:ascii="ＭＳ 明朝" w:eastAsia="ＭＳ 明朝" w:hAnsi="ＭＳ 明朝"/>
          <w:sz w:val="20"/>
          <w:szCs w:val="20"/>
        </w:rPr>
        <w:t xml:space="preserve">　　甲社の運送事業となり事業用自動車が必要になる、という理解でよろしいでしょうか。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運転者を甲社〔緑〕が雇用し、親会社である乙社〔白〕の荷を運ばせた場合は、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乙社〔白〕（砕石の製造販売。運送業の許可なし）が、丙社〔白〕に、採石場渡しで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丙社は、買い取った砕石を自社の白ナンバーのダンプで工事現場へ運び、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現場の元請である丁社へ転売します。</w:t>
      </w:r>
    </w:p>
    <w:p>
      <w:pPr>
        <w:spacing w:after="0" w:before="0" w:line="290" w:lineRule="auto"/>
        <w:ind w:left="180"/>
      </w:pPr>
      <w:r>
        <w:rPr>
          <w:rFonts w:ascii="ＭＳ 明朝" w:eastAsia="ＭＳ 明朝" w:hAnsi="ＭＳ 明朝"/>
          <w:sz w:val="20"/>
          <w:szCs w:val="20"/>
        </w:rPr>
        <w:t xml:space="preserve">３　乙社から丙社への支払いは一切ありません。</w:t>
      </w:r>
    </w:p>
    <w:p>
      <w:pPr>
        <w:spacing w:after="0" w:before="0" w:line="290" w:lineRule="auto"/>
        <w:ind w:left="180"/>
      </w:pPr>
      <w:r>
        <w:rPr>
          <w:rFonts w:ascii="ＭＳ 明朝" w:eastAsia="ＭＳ 明朝" w:hAnsi="ＭＳ 明朝"/>
          <w:sz w:val="20"/>
          <w:szCs w:val="20"/>
        </w:rPr>
        <w:t xml:space="preserve">　　所有権は採石場で丙社に移り、代金回収リスク・在庫リスクも丙社が負います。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丙社は自ら所有する貨物を自ら運送しており、法の許可は不要と考えております。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丙社〔白〕が元請の丁社に請求する際、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後日、丙社〔白〕が売れ残りを乙社〔白〕に買い戻してもらう約束がある場合は、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甲社〔緑〕が、建設工事の元請である丁社から残土の運搬と処分を請け負います。</w:t>
      </w:r>
    </w:p>
    <w:p>
      <w:pPr>
        <w:spacing w:after="0" w:before="0" w:line="290" w:lineRule="auto"/>
        <w:ind w:left="180"/>
      </w:pPr>
      <w:r>
        <w:rPr>
          <w:rFonts w:ascii="ＭＳ 明朝" w:eastAsia="ＭＳ 明朝" w:hAnsi="ＭＳ 明朝"/>
          <w:sz w:val="20"/>
          <w:szCs w:val="20"/>
        </w:rPr>
        <w:t xml:space="preserve">２　運搬は甲社の従業員（雇用関係あり）が行います。</w:t>
      </w:r>
    </w:p>
    <w:p>
      <w:pPr>
        <w:spacing w:after="0" w:before="0" w:line="290" w:lineRule="auto"/>
        <w:ind w:left="180"/>
      </w:pPr>
      <w:r>
        <w:rPr>
          <w:rFonts w:ascii="ＭＳ 明朝" w:eastAsia="ＭＳ 明朝" w:hAnsi="ＭＳ 明朝"/>
          <w:sz w:val="20"/>
          <w:szCs w:val="20"/>
        </w:rPr>
        <w:t xml:space="preserve">３　受入地は甲社が自ら確保し、埋戻し・盛土まで甲社の責任で実施します。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甲社の生業と密接不可分で、その業務に付帯する運送であり、運送の対価としての有償性もないため、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（この照会は、甲社が白ナンバーの車両で行う場合を想定したものです。）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受入地を元請の丁社が手配し、甲社は運搬して荷下ろしするだけの場合は、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甲社がこれを是正するため、事業計画変更認可の申請を行うものとします。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甲社〔緑〕は一般貨物自動車運送事業者として、事業計画に貨物自動車利用運送を行う旨を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・貨物自動車運送事業法9条1項・10条1項・24条2項・24条の5・2条7項・61条</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　　（登録免許税法別表第一125号の課税物件の細目には、貨物自動車運送事業法については</w:t>
      </w:r>
    </w:p>
    <w:p>
      <w:pPr>
        <w:spacing w:after="0" w:before="0" w:line="290" w:lineRule="auto"/>
        <w:ind w:left="180"/>
      </w:pPr>
      <w:r>
        <w:rPr>
          <w:rFonts w:ascii="ＭＳ 明朝" w:eastAsia="ＭＳ 明朝" w:hAnsi="ＭＳ 明朝"/>
          <w:sz w:val="20"/>
          <w:szCs w:val="20"/>
        </w:rPr>
        <w:t xml:space="preserve">　　　3条の許可と35条1項の許可のみが掲げられ、9条1項の事業計画変更認可は掲げられて</w:t>
      </w:r>
    </w:p>
    <w:p>
      <w:pPr>
        <w:spacing w:after="0" w:before="0" w:line="290" w:lineRule="auto"/>
        <w:ind w:left="180"/>
      </w:pPr>
      <w:r>
        <w:rPr>
          <w:rFonts w:ascii="ＭＳ 明朝" w:eastAsia="ＭＳ 明朝" w:hAnsi="ＭＳ 明朝"/>
          <w:sz w:val="20"/>
          <w:szCs w:val="20"/>
        </w:rPr>
        <w:t xml:space="preserve">　　　いないこと、法61条の手数料は運行管理者試験等に限られることを確認しております。）</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実運送体制管理簿（法24条の5）・法24条2項の書面について、公式の様式例やひな形は</w:t>
      </w:r>
    </w:p>
    <w:p>
      <w:pPr>
        <w:spacing w:after="0" w:before="0" w:line="290" w:lineRule="auto"/>
        <w:ind w:left="180"/>
      </w:pPr>
      <w:r>
        <w:rPr>
          <w:rFonts w:ascii="ＭＳ 明朝" w:eastAsia="ＭＳ 明朝" w:hAnsi="ＭＳ 明朝"/>
          <w:sz w:val="20"/>
          <w:szCs w:val="20"/>
        </w:rPr>
        <w:t xml:space="preserve">　　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その運送を、緑ナンバーの運送会社（甲社を含む）に委託し、運賃を支払います。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戊〔白〕が所有する白ナンバーの大型ダンプがあり、車検証上の使用者も戊本人です。</w:t>
      </w:r>
    </w:p>
    <w:p>
      <w:pPr>
        <w:spacing w:after="0" w:before="0" w:line="290" w:lineRule="auto"/>
        <w:ind w:left="180"/>
      </w:pPr>
      <w:r>
        <w:rPr>
          <w:rFonts w:ascii="ＭＳ 明朝" w:eastAsia="ＭＳ 明朝" w:hAnsi="ＭＳ 明朝"/>
          <w:sz w:val="20"/>
          <w:szCs w:val="20"/>
        </w:rPr>
        <w:t xml:space="preserve">２　戊本人が、自らの事業について表示番号の指定を受け、荷台3面に表示しています。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この戊を、午前は乙社〔白〕、午後は丙社〔白〕がそれぞれ日雇いで雇用し、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表示番号は車検証上の使用者（＝戊本人）が経営する事業の種類に対応して指定されるものなので、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雇用主が変わっても表示番号は付け替えず、戊本人の番号のままで差し支えないと考えております。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この場合、ダンプ規制法3条1項の「使用者」は、戊本人と雇用主のいずれと解されますか。</w:t>
      </w:r>
    </w:p>
    <w:p>
      <w:pPr>
        <w:spacing w:after="0" w:before="0" w:line="290" w:lineRule="auto"/>
        <w:ind w:left="180"/>
      </w:pPr>
      <w:r>
        <w:rPr>
          <w:rFonts w:ascii="ＭＳ 明朝" w:eastAsia="ＭＳ 明朝" w:hAnsi="ＭＳ 明朝"/>
          <w:sz w:val="20"/>
          <w:szCs w:val="20"/>
        </w:rPr>
        <w:t xml:space="preserve">(3) 雇用主（乙社・丙社）の側で、何らかの届出は必要になりますでしょうか。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しかし戊は自ら事業を営んでおらず、日雇い等で雇用されて運転するのみです。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甲社〔緑〕・乙社〔白〕とも、持込みの白ナンバーのダンプに土砂等を積載させる前に、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道路運送車両法58条2項は、自動車検査証を「車台番号、使用者の氏名又は名称その他国土交通省令で</w:t>
      </w:r>
    </w:p>
    <w:p>
      <w:pPr>
        <w:spacing w:after="0" w:before="0" w:line="290" w:lineRule="auto"/>
        <w:ind w:left="180"/>
      </w:pPr>
      <w:r>
        <w:rPr>
          <w:rFonts w:ascii="ＭＳ 明朝" w:eastAsia="ＭＳ 明朝" w:hAnsi="ＭＳ 明朝"/>
          <w:sz w:val="20"/>
          <w:szCs w:val="20"/>
        </w:rPr>
        <w:t xml:space="preserve">定める事項が記載され、かつ、これらの事項、有効期間その他国土交通省令で定める事項（……</w:t>
      </w:r>
    </w:p>
    <w:p>
      <w:pPr>
        <w:spacing w:after="0" w:before="0" w:line="290" w:lineRule="auto"/>
        <w:ind w:left="180"/>
      </w:pPr>
      <w:r>
        <w:rPr>
          <w:rFonts w:ascii="ＭＳ 明朝" w:eastAsia="ＭＳ 明朝" w:hAnsi="ＭＳ 明朝"/>
          <w:sz w:val="20"/>
          <w:szCs w:val="20"/>
        </w:rPr>
        <w:t xml:space="preserve">自動車検査証記録事項……）が電子的方法……により記録されたカード」としています。</w:t>
      </w:r>
    </w:p>
    <w:p>
      <w:pPr>
        <w:spacing w:after="0" w:before="0" w:line="290" w:lineRule="auto"/>
        <w:ind w:left="180"/>
      </w:pPr>
      <w:r>
        <w:rPr>
          <w:rFonts w:ascii="ＭＳ 明朝" w:eastAsia="ＭＳ 明朝" w:hAnsi="ＭＳ 明朝"/>
          <w:sz w:val="20"/>
          <w:szCs w:val="20"/>
        </w:rPr>
        <w:t xml:space="preserve">券面に記載する事項は施行規則35条の3、記録する事項は同35条の4に掲げられていますが、</w:t>
      </w:r>
    </w:p>
    <w:p>
      <w:pPr>
        <w:spacing w:after="0" w:before="0" w:line="290" w:lineRule="auto"/>
        <w:ind w:left="180"/>
      </w:pPr>
      <w:r>
        <w:rPr>
          <w:rFonts w:ascii="ＭＳ 明朝" w:eastAsia="ＭＳ 明朝" w:hAnsi="ＭＳ 明朝"/>
          <w:sz w:val="20"/>
          <w:szCs w:val="20"/>
        </w:rPr>
        <w:t xml:space="preserve">いずれにもダンプ規制法の表示番号は挙がっておりません。</w:t>
      </w:r>
    </w:p>
    <w:p>
      <w:pPr>
        <w:spacing w:after="0" w:before="0" w:line="290" w:lineRule="auto"/>
        <w:ind w:left="180"/>
      </w:pPr>
      <w:r>
        <w:rPr>
          <w:rFonts w:ascii="ＭＳ 明朝" w:eastAsia="ＭＳ 明朝" w:hAnsi="ＭＳ 明朝"/>
          <w:sz w:val="20"/>
          <w:szCs w:val="20"/>
        </w:rPr>
        <w:t xml:space="preserve">そのため表示番号は備考欄への記載であって、法67条1項の「自動車検査証記録事項」には</w:t>
      </w:r>
    </w:p>
    <w:p>
      <w:pPr>
        <w:spacing w:after="0" w:before="0" w:line="290" w:lineRule="auto"/>
        <w:ind w:left="180"/>
      </w:pPr>
      <w:r>
        <w:rPr>
          <w:rFonts w:ascii="ＭＳ 明朝" w:eastAsia="ＭＳ 明朝" w:hAnsi="ＭＳ 明朝"/>
          <w:sz w:val="20"/>
          <w:szCs w:val="20"/>
        </w:rPr>
        <w:t xml:space="preserve">当たらないのではないか、と考えております。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・道路運送車両法58条2項・67条1項／同施行規則35条の3・35条の4</w:t>
      </w:r>
    </w:p>
    <w:p>
      <w:pPr>
        <w:spacing w:after="0" w:before="0" w:line="290" w:lineRule="auto"/>
        <w:ind w:left="180"/>
      </w:pPr>
      <w:r>
        <w:rPr>
          <w:rFonts w:ascii="ＭＳ 明朝" w:eastAsia="ＭＳ 明朝" w:hAnsi="ＭＳ 明朝"/>
          <w:sz w:val="19"/>
          <w:szCs w:val="19"/>
        </w:rPr>
        <w:t xml:space="preserve">・ダンプ規制法3条1項・4条／同施行規則3条3項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表示番号は、施行規則35条の3・35条の4のいずれにも掲げられていないことから、</w:t>
      </w:r>
    </w:p>
    <w:p>
      <w:pPr>
        <w:spacing w:after="0" w:before="0" w:line="290" w:lineRule="auto"/>
        <w:ind w:left="180"/>
      </w:pPr>
      <w:r>
        <w:rPr>
          <w:rFonts w:ascii="ＭＳ 明朝" w:eastAsia="ＭＳ 明朝" w:hAnsi="ＭＳ 明朝"/>
          <w:sz w:val="20"/>
          <w:szCs w:val="20"/>
        </w:rPr>
        <w:t xml:space="preserve">　　法67条1項の「自動車検査証記録事項」には当たらず、経営する事業の種類の変更により</w:t>
      </w:r>
    </w:p>
    <w:p>
      <w:pPr>
        <w:spacing w:after="0" w:before="0" w:line="290" w:lineRule="auto"/>
        <w:ind w:left="180"/>
      </w:pPr>
      <w:r>
        <w:rPr>
          <w:rFonts w:ascii="ＭＳ 明朝" w:eastAsia="ＭＳ 明朝" w:hAnsi="ＭＳ 明朝"/>
          <w:sz w:val="20"/>
          <w:szCs w:val="20"/>
        </w:rPr>
        <w:t xml:space="preserve">　　表示番号を取り直した場合でも、15日以内の変更記録の申請は要しない、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2026-10-09T02:39:16.337Z</dcterms:created>
  <dcterms:modified xsi:type="dcterms:W3CDTF">2026-10-09T02:39:16.344Z</dcterms:modified>
</cp:coreProperties>
</file>

<file path=docProps/custom.xml><?xml version="1.0" encoding="utf-8"?>
<Properties xmlns="http://schemas.openxmlformats.org/officeDocument/2006/custom-properties" xmlns:vt="http://schemas.openxmlformats.org/officeDocument/2006/docPropsVTypes"/>
</file>