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00" w:lineRule="auto"/>
        <w:jc w:val="center"/>
      </w:pPr>
      <w:r>
        <w:rPr>
          <w:rFonts w:ascii="ＭＳ ゴシック" w:eastAsia="ＭＳ ゴシック" w:hAnsi="ＭＳ ゴシック"/>
          <w:b/>
          <w:bCs/>
          <w:sz w:val="32"/>
          <w:szCs w:val="32"/>
        </w:rPr>
        <w:t xml:space="preserve">残土処分請負契約書</w:t>
      </w:r>
    </w:p>
    <w:p>
      <w:pPr>
        <w:spacing w:after="340" w:before="0" w:line="300" w:lineRule="auto"/>
        <w:jc w:val="center"/>
      </w:pPr>
      <w:r>
        <w:rPr>
          <w:rFonts w:ascii="ＭＳ ゴシック" w:eastAsia="ＭＳ ゴシック" w:hAnsi="ＭＳ ゴシック"/>
          <w:b w:val="false"/>
          <w:bCs w:val="false"/>
          <w:sz w:val="19"/>
          <w:szCs w:val="19"/>
        </w:rPr>
        <w:t xml:space="preserve">（積込みから埋戻し整地まで一括請負／自社処分地方式）</w:t>
      </w:r>
    </w:p>
    <w:p>
      <w:pPr>
        <w:spacing w:after="240" w:before="0" w:line="300" w:lineRule="auto"/>
        <w:ind w:firstLine="210"/>
      </w:pPr>
      <w:r>
        <w:rPr>
          <w:rFonts w:ascii="ＭＳ 明朝" w:eastAsia="ＭＳ 明朝" w:hAnsi="ＭＳ 明朝"/>
          <w:b w:val="false"/>
          <w:bCs w:val="false"/>
          <w:sz w:val="21"/>
          <w:szCs w:val="21"/>
        </w:rPr>
        <w:t xml:space="preserve">○○建設株式会社（以下「○○建設」という。）と株式会社▲▲砂利店（以下「▲▲砂利店」という。）は、○○建設が施工する建設工事に伴い発生する残土の処分について、次のとおり請負契約を締結する。</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70"/>
              <w:left w:type="dxa" w:w="100"/>
              <w:bottom w:type="dxa" w:w="70"/>
              <w:right w:type="dxa" w:w="100"/>
            </w:tcMar>
            <w:vAlign w:val="center"/>
          </w:tcPr>
          <w:p>
            <w:pPr>
              <w:spacing w:line="250" w:lineRule="auto"/>
            </w:pPr>
            <w:r>
              <w:rPr>
                <w:rFonts w:ascii="ＭＳ ゴシック" w:eastAsia="ＭＳ ゴシック" w:hAnsi="ＭＳ ゴシック"/>
                <w:b/>
                <w:bCs/>
                <w:color w:val="FFFFFF"/>
                <w:sz w:val="21"/>
                <w:szCs w:val="21"/>
              </w:rPr>
              <w:t xml:space="preserve">当事者</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500"/>
        <w:gridCol w:w="3300"/>
        <w:gridCol w:w="2072"/>
      </w:tblGrid>
      <w:tr>
        <w:tc>
          <w:tcPr>
            <w:tcW w:type="dxa" w:w="12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区分</w:t>
            </w:r>
          </w:p>
        </w:tc>
        <w:tc>
          <w:tcPr>
            <w:tcW w:type="dxa" w:w="25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商号</w:t>
            </w:r>
          </w:p>
        </w:tc>
        <w:tc>
          <w:tcPr>
            <w:tcW w:type="dxa" w:w="33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立場</w:t>
            </w:r>
          </w:p>
        </w:tc>
        <w:tc>
          <w:tcPr>
            <w:tcW w:type="dxa" w:w="2072"/>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本契約で使用する車両</w:t>
            </w:r>
          </w:p>
        </w:tc>
      </w:tr>
      <w:tr>
        <w:tc>
          <w:tcPr>
            <w:tcW w:type="dxa" w:w="1200"/>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発注者</w:t>
            </w:r>
          </w:p>
        </w:tc>
        <w:tc>
          <w:tcPr>
            <w:tcW w:type="dxa" w:w="2500"/>
            <w:tcMar>
              <w:top w:type="dxa" w:w="70"/>
              <w:left w:type="dxa" w:w="100"/>
              <w:bottom w:type="dxa" w:w="70"/>
              <w:right w:type="dxa" w:w="100"/>
            </w:tcMar>
            <w:vAlign w:val="center"/>
          </w:tcPr>
          <w:p>
            <w:pPr>
              <w:spacing w:line="250" w:lineRule="auto"/>
            </w:pPr>
            <w:r>
              <w:rPr>
                <w:rFonts w:ascii="ＭＳ 明朝" w:eastAsia="ＭＳ 明朝" w:hAnsi="ＭＳ 明朝"/>
                <w:b/>
                <w:bCs/>
                <w:sz w:val="19"/>
                <w:szCs w:val="19"/>
              </w:rPr>
              <w:t xml:space="preserve">○○建設株式会社</w:t>
            </w:r>
          </w:p>
        </w:tc>
        <w:tc>
          <w:tcPr>
            <w:tcW w:type="dxa" w:w="3300"/>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19"/>
                <w:szCs w:val="19"/>
              </w:rPr>
              <w:t xml:space="preserve">元請（本件残土の発生者）</w:t>
            </w:r>
          </w:p>
        </w:tc>
        <w:tc>
          <w:tcPr>
            <w:tcW w:type="dxa" w:w="2072"/>
            <w:tcMar>
              <w:top w:type="dxa" w:w="70"/>
              <w:left w:type="dxa" w:w="100"/>
              <w:bottom w:type="dxa" w:w="70"/>
              <w:right w:type="dxa" w:w="100"/>
            </w:tcMar>
            <w:vAlign w:val="center"/>
          </w:tcPr>
          <w:p>
            <w:pPr>
              <w:spacing w:line="250" w:lineRule="auto"/>
              <w:jc w:val="center"/>
            </w:pPr>
            <w:r>
              <w:rPr>
                <w:rFonts w:ascii="ＭＳ 明朝" w:eastAsia="ＭＳ 明朝" w:hAnsi="ＭＳ 明朝"/>
                <w:b w:val="false"/>
                <w:bCs w:val="false"/>
                <w:sz w:val="19"/>
                <w:szCs w:val="19"/>
              </w:rPr>
              <w:t xml:space="preserve">―</w:t>
            </w:r>
          </w:p>
        </w:tc>
      </w:tr>
      <w:tr>
        <w:tc>
          <w:tcPr>
            <w:tcW w:type="dxa" w:w="1200"/>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受注者</w:t>
            </w:r>
          </w:p>
        </w:tc>
        <w:tc>
          <w:tcPr>
            <w:tcW w:type="dxa" w:w="2500"/>
            <w:tcMar>
              <w:top w:type="dxa" w:w="70"/>
              <w:left w:type="dxa" w:w="100"/>
              <w:bottom w:type="dxa" w:w="70"/>
              <w:right w:type="dxa" w:w="100"/>
            </w:tcMar>
            <w:vAlign w:val="center"/>
          </w:tcPr>
          <w:p>
            <w:pPr>
              <w:spacing w:line="250" w:lineRule="auto"/>
            </w:pPr>
            <w:r>
              <w:rPr>
                <w:rFonts w:ascii="ＭＳ 明朝" w:eastAsia="ＭＳ 明朝" w:hAnsi="ＭＳ 明朝"/>
                <w:b/>
                <w:bCs/>
                <w:sz w:val="19"/>
                <w:szCs w:val="19"/>
              </w:rPr>
              <w:t xml:space="preserve">株式会社▲▲砂利店</w:t>
            </w:r>
          </w:p>
        </w:tc>
        <w:tc>
          <w:tcPr>
            <w:tcW w:type="dxa" w:w="3300"/>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19"/>
                <w:szCs w:val="19"/>
              </w:rPr>
              <w:t xml:space="preserve">砂利採取業者（残土処分の請負人）</w:t>
            </w:r>
          </w:p>
        </w:tc>
        <w:tc>
          <w:tcPr>
            <w:tcW w:type="dxa" w:w="2072"/>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color w:val="8A6100"/>
                <w:sz w:val="19"/>
                <w:szCs w:val="19"/>
              </w:rPr>
              <w:t xml:space="preserve">〔白〕</w:t>
            </w:r>
            <w:r>
              <w:rPr>
                <w:rFonts w:ascii="ＭＳ 明朝" w:eastAsia="ＭＳ 明朝" w:hAnsi="ＭＳ 明朝"/>
                <w:b w:val="false"/>
                <w:bCs w:val="false"/>
                <w:sz w:val="19"/>
                <w:szCs w:val="19"/>
              </w:rPr>
              <w:t xml:space="preserve">白ナンバー（自家用）</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FDF4E2" w:color="auto" w:val="clear"/>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砂利店が本契約に基づき使用するダンプトラックは自家用（白ナンバー）であり、▲▲砂利店は貨物自動車運送事業法の許可を有しない。本契約は、▲▲砂利店が自らの事業として残土の処分を引き受けるものであって、▲▲砂利店が○○建設の貨物の運送を引き受けるものではない。</w:t>
            </w:r>
          </w:p>
        </w:tc>
      </w:tr>
    </w:tbl>
    <w:p>
      <w:pPr>
        <w:spacing w:after="0" w:before="0" w:line="300" w:lineRule="auto"/>
      </w:pPr>
    </w:p>
    <w:p>
      <w:pPr>
        <w:keepNext/>
        <w:spacing w:after="80" w:before="220" w:line="300" w:lineRule="auto"/>
      </w:pPr>
      <w:r>
        <w:rPr>
          <w:rFonts w:ascii="ＭＳ ゴシック" w:eastAsia="ＭＳ ゴシック" w:hAnsi="ＭＳ ゴシック"/>
          <w:b/>
          <w:bCs/>
          <w:sz w:val="22"/>
          <w:szCs w:val="22"/>
        </w:rPr>
        <w:t xml:space="preserve">第１条（目的）</w:t>
      </w:r>
    </w:p>
    <w:p>
      <w:pPr>
        <w:spacing w:after="0" w:before="0" w:line="300" w:lineRule="auto"/>
        <w:ind w:left="210" w:hanging="0"/>
      </w:pPr>
      <w:r>
        <w:rPr>
          <w:rFonts w:ascii="ＭＳ 明朝" w:eastAsia="ＭＳ 明朝" w:hAnsi="ＭＳ 明朝"/>
          <w:b w:val="false"/>
          <w:bCs w:val="false"/>
          <w:sz w:val="21"/>
          <w:szCs w:val="21"/>
        </w:rPr>
        <w:t xml:space="preserve">本契約は、▲▲砂利店が、○○建設の施工に係る建設工事において発生する残土（以下「本件残土」という。）を▲▲砂利店の処分地に受け入れ、埋戻し及び整地を行うことにより、本件残土の処分を完成することを目的とする。</w:t>
      </w:r>
    </w:p>
    <w:p>
      <w:pPr>
        <w:spacing w:after="0" w:before="0" w:line="300" w:lineRule="auto"/>
        <w:ind w:left="210" w:hanging="210"/>
      </w:pPr>
      <w:r>
        <w:rPr>
          <w:rFonts w:ascii="ＭＳ 明朝" w:eastAsia="ＭＳ 明朝" w:hAnsi="ＭＳ 明朝"/>
          <w:b w:val="false"/>
          <w:bCs w:val="false"/>
          <w:sz w:val="21"/>
          <w:szCs w:val="21"/>
        </w:rPr>
        <w:t xml:space="preserve">２　本契約は、本件残土の処分を目的とする請負契約であり、本件残土の運搬を目的とするものではない。運搬は、前項の処分を完成するために▲▲砂利店が自らの手段として行う工程の一部である。</w:t>
      </w:r>
    </w:p>
    <w:p>
      <w:pPr>
        <w:keepNext/>
        <w:spacing w:after="80" w:before="220" w:line="300" w:lineRule="auto"/>
      </w:pPr>
      <w:r>
        <w:rPr>
          <w:rFonts w:ascii="ＭＳ ゴシック" w:eastAsia="ＭＳ ゴシック" w:hAnsi="ＭＳ ゴシック"/>
          <w:b/>
          <w:bCs/>
          <w:sz w:val="22"/>
          <w:szCs w:val="22"/>
        </w:rPr>
        <w:t xml:space="preserve">第２条（業務の範囲）</w:t>
      </w:r>
    </w:p>
    <w:p>
      <w:pPr>
        <w:spacing w:after="0" w:before="0" w:line="300" w:lineRule="auto"/>
        <w:ind w:left="210" w:hanging="0"/>
      </w:pPr>
      <w:r>
        <w:rPr>
          <w:rFonts w:ascii="ＭＳ 明朝" w:eastAsia="ＭＳ 明朝" w:hAnsi="ＭＳ 明朝"/>
          <w:b w:val="false"/>
          <w:bCs w:val="false"/>
          <w:sz w:val="21"/>
          <w:szCs w:val="21"/>
        </w:rPr>
        <w:t xml:space="preserve">▲▲砂利店は、前条の目的を達成するため、次の各工程を一体のものとして自ら行う。</w:t>
      </w:r>
    </w:p>
    <w:p>
      <w:pPr>
        <w:spacing w:after="0" w:before="0" w:line="300" w:lineRule="auto"/>
        <w:ind w:left="420" w:hanging="210"/>
      </w:pPr>
      <w:r>
        <w:rPr>
          <w:rFonts w:ascii="ＭＳ 明朝" w:eastAsia="ＭＳ 明朝" w:hAnsi="ＭＳ 明朝"/>
          <w:b w:val="false"/>
          <w:bCs w:val="false"/>
          <w:sz w:val="20"/>
          <w:szCs w:val="20"/>
        </w:rPr>
        <w:t xml:space="preserve">一　○○建設の工事現場における本件残土の積込み</w:t>
      </w:r>
    </w:p>
    <w:p>
      <w:pPr>
        <w:spacing w:after="0" w:before="0" w:line="300" w:lineRule="auto"/>
        <w:ind w:left="420" w:hanging="210"/>
      </w:pPr>
      <w:r>
        <w:rPr>
          <w:rFonts w:ascii="ＭＳ 明朝" w:eastAsia="ＭＳ 明朝" w:hAnsi="ＭＳ 明朝"/>
          <w:b w:val="false"/>
          <w:bCs w:val="false"/>
          <w:sz w:val="20"/>
          <w:szCs w:val="20"/>
        </w:rPr>
        <w:t xml:space="preserve">二　▲▲砂利店の処分地までの運搬</w:t>
      </w:r>
    </w:p>
    <w:p>
      <w:pPr>
        <w:spacing w:after="0" w:before="0" w:line="300" w:lineRule="auto"/>
        <w:ind w:left="420" w:hanging="210"/>
      </w:pPr>
      <w:r>
        <w:rPr>
          <w:rFonts w:ascii="ＭＳ 明朝" w:eastAsia="ＭＳ 明朝" w:hAnsi="ＭＳ 明朝"/>
          <w:b w:val="false"/>
          <w:bCs w:val="false"/>
          <w:sz w:val="20"/>
          <w:szCs w:val="20"/>
        </w:rPr>
        <w:t xml:space="preserve">三　処分地における受入れ及び荷卸し</w:t>
      </w:r>
    </w:p>
    <w:p>
      <w:pPr>
        <w:spacing w:after="0" w:before="0" w:line="300" w:lineRule="auto"/>
        <w:ind w:left="420" w:hanging="210"/>
      </w:pPr>
      <w:r>
        <w:rPr>
          <w:rFonts w:ascii="ＭＳ 明朝" w:eastAsia="ＭＳ 明朝" w:hAnsi="ＭＳ 明朝"/>
          <w:b w:val="false"/>
          <w:bCs w:val="false"/>
          <w:sz w:val="20"/>
          <w:szCs w:val="20"/>
        </w:rPr>
        <w:t xml:space="preserve">四　敷均し、転圧及び埋戻し</w:t>
      </w:r>
    </w:p>
    <w:p>
      <w:pPr>
        <w:spacing w:after="0" w:before="0" w:line="300" w:lineRule="auto"/>
        <w:ind w:left="420" w:hanging="210"/>
      </w:pPr>
      <w:r>
        <w:rPr>
          <w:rFonts w:ascii="ＭＳ 明朝" w:eastAsia="ＭＳ 明朝" w:hAnsi="ＭＳ 明朝"/>
          <w:b w:val="false"/>
          <w:bCs w:val="false"/>
          <w:sz w:val="20"/>
          <w:szCs w:val="20"/>
        </w:rPr>
        <w:t xml:space="preserve">五　埋戻し後の整地及び法面の処理</w:t>
      </w:r>
    </w:p>
    <w:p>
      <w:pPr>
        <w:spacing w:after="0" w:before="0" w:line="300" w:lineRule="auto"/>
        <w:ind w:left="420" w:hanging="210"/>
      </w:pPr>
      <w:r>
        <w:rPr>
          <w:rFonts w:ascii="ＭＳ 明朝" w:eastAsia="ＭＳ 明朝" w:hAnsi="ＭＳ 明朝"/>
          <w:b w:val="false"/>
          <w:bCs w:val="false"/>
          <w:sz w:val="20"/>
          <w:szCs w:val="20"/>
        </w:rPr>
        <w:t xml:space="preserve">六　前各号に付随する一切の作業</w:t>
      </w:r>
    </w:p>
    <w:p>
      <w:pPr>
        <w:spacing w:after="0" w:before="0" w:line="300" w:lineRule="auto"/>
        <w:ind w:left="210" w:hanging="210"/>
      </w:pPr>
      <w:r>
        <w:rPr>
          <w:rFonts w:ascii="ＭＳ 明朝" w:eastAsia="ＭＳ 明朝" w:hAnsi="ＭＳ 明朝"/>
          <w:b w:val="false"/>
          <w:bCs w:val="false"/>
          <w:sz w:val="21"/>
          <w:szCs w:val="21"/>
        </w:rPr>
        <w:t xml:space="preserve">２　▲▲砂利店は、前項の業務を第三者に再委託しない。ただし、あらかじめ○○建設の書面による承諾を得た場合は、この限りでない。</w:t>
      </w:r>
    </w:p>
    <w:p>
      <w:pPr>
        <w:keepNext/>
        <w:spacing w:after="80" w:before="220" w:line="300" w:lineRule="auto"/>
      </w:pPr>
      <w:r>
        <w:rPr>
          <w:rFonts w:ascii="ＭＳ ゴシック" w:eastAsia="ＭＳ ゴシック" w:hAnsi="ＭＳ ゴシック"/>
          <w:b/>
          <w:bCs/>
          <w:sz w:val="22"/>
          <w:szCs w:val="22"/>
        </w:rPr>
        <w:t xml:space="preserve">第３条（処分地）</w:t>
      </w:r>
    </w:p>
    <w:p>
      <w:pPr>
        <w:spacing w:after="0" w:before="0" w:line="300" w:lineRule="auto"/>
        <w:ind w:left="210" w:hanging="0"/>
      </w:pPr>
      <w:r>
        <w:rPr>
          <w:rFonts w:ascii="ＭＳ 明朝" w:eastAsia="ＭＳ 明朝" w:hAnsi="ＭＳ 明朝"/>
          <w:b w:val="false"/>
          <w:bCs w:val="false"/>
          <w:sz w:val="21"/>
          <w:szCs w:val="21"/>
        </w:rPr>
        <w:t xml:space="preserve">処分地は、別紙２に表示する土地とする。</w:t>
      </w:r>
    </w:p>
    <w:p>
      <w:pPr>
        <w:spacing w:after="0" w:before="0" w:line="300" w:lineRule="auto"/>
        <w:ind w:left="210" w:hanging="210"/>
      </w:pPr>
      <w:r>
        <w:rPr>
          <w:rFonts w:ascii="ＭＳ 明朝" w:eastAsia="ＭＳ 明朝" w:hAnsi="ＭＳ 明朝"/>
          <w:b w:val="false"/>
          <w:bCs w:val="false"/>
          <w:sz w:val="21"/>
          <w:szCs w:val="21"/>
        </w:rPr>
        <w:t xml:space="preserve">２　▲▲砂利店は、処分地について所有権、賃借権その他の使用及び収益を目的とする権利を有していることを○○建設に対して保証する。</w:t>
      </w:r>
    </w:p>
    <w:p>
      <w:pPr>
        <w:spacing w:after="0" w:before="0" w:line="300" w:lineRule="auto"/>
        <w:ind w:left="210" w:hanging="210"/>
      </w:pPr>
      <w:r>
        <w:rPr>
          <w:rFonts w:ascii="ＭＳ 明朝" w:eastAsia="ＭＳ 明朝" w:hAnsi="ＭＳ 明朝"/>
          <w:b w:val="false"/>
          <w:bCs w:val="false"/>
          <w:sz w:val="21"/>
          <w:szCs w:val="21"/>
        </w:rPr>
        <w:t xml:space="preserve">３　処分地の確保、維持及び管理は、▲▲砂利店の責任と費用において行う。</w:t>
      </w:r>
    </w:p>
    <w:p>
      <w:pPr>
        <w:spacing w:after="0" w:before="0" w:line="300" w:lineRule="auto"/>
        <w:ind w:left="210" w:hanging="210"/>
      </w:pPr>
      <w:r>
        <w:rPr>
          <w:rFonts w:ascii="ＭＳ 明朝" w:eastAsia="ＭＳ 明朝" w:hAnsi="ＭＳ 明朝"/>
          <w:b w:val="false"/>
          <w:bCs w:val="false"/>
          <w:sz w:val="21"/>
          <w:szCs w:val="21"/>
        </w:rPr>
        <w:t xml:space="preserve">４　▲▲砂利店は、処分地を別紙２に表示する土地以外の土地に変更しようとするときは、あらかじめ○○建設の書面による承諾を得る。</w:t>
      </w:r>
    </w:p>
    <w:p>
      <w:pPr>
        <w:keepNext/>
        <w:spacing w:after="80" w:before="220" w:line="300" w:lineRule="auto"/>
      </w:pPr>
      <w:r>
        <w:rPr>
          <w:rFonts w:ascii="ＭＳ ゴシック" w:eastAsia="ＭＳ ゴシック" w:hAnsi="ＭＳ ゴシック"/>
          <w:b/>
          <w:bCs/>
          <w:sz w:val="22"/>
          <w:szCs w:val="22"/>
        </w:rPr>
        <w:t xml:space="preserve">第４条（本件残土の性状）</w:t>
      </w:r>
    </w:p>
    <w:p>
      <w:pPr>
        <w:spacing w:after="0" w:before="0" w:line="300" w:lineRule="auto"/>
        <w:ind w:left="210" w:hanging="0"/>
      </w:pPr>
      <w:r>
        <w:rPr>
          <w:rFonts w:ascii="ＭＳ 明朝" w:eastAsia="ＭＳ 明朝" w:hAnsi="ＭＳ 明朝"/>
          <w:b w:val="false"/>
          <w:bCs w:val="false"/>
          <w:sz w:val="21"/>
          <w:szCs w:val="21"/>
        </w:rPr>
        <w:t xml:space="preserve">本契約の対象となる本件残土は、建設工事に伴い発生する土砂であって、廃棄物の処理及び清掃に関する法律第２条に規定する廃棄物に該当しないものに限る。</w:t>
      </w:r>
    </w:p>
    <w:p>
      <w:pPr>
        <w:spacing w:after="0" w:before="0" w:line="300" w:lineRule="auto"/>
        <w:ind w:left="210" w:hanging="210"/>
      </w:pPr>
      <w:r>
        <w:rPr>
          <w:rFonts w:ascii="ＭＳ 明朝" w:eastAsia="ＭＳ 明朝" w:hAnsi="ＭＳ 明朝"/>
          <w:b w:val="false"/>
          <w:bCs w:val="false"/>
          <w:sz w:val="21"/>
          <w:szCs w:val="21"/>
        </w:rPr>
        <w:t xml:space="preserve">２　○○建設は、本件残土にコンクリート塊、アスファルト・コンクリート塊、木くず、廃プラスチック類その他の廃棄物が混入していないこと、及び土壌汚染対策法に規定する特定有害物質により汚染されていないことを保証する。</w:t>
      </w:r>
    </w:p>
    <w:p>
      <w:pPr>
        <w:spacing w:after="0" w:before="0" w:line="300" w:lineRule="auto"/>
        <w:ind w:left="210" w:hanging="210"/>
      </w:pPr>
      <w:r>
        <w:rPr>
          <w:rFonts w:ascii="ＭＳ 明朝" w:eastAsia="ＭＳ 明朝" w:hAnsi="ＭＳ 明朝"/>
          <w:b w:val="false"/>
          <w:bCs w:val="false"/>
          <w:sz w:val="21"/>
          <w:szCs w:val="21"/>
        </w:rPr>
        <w:t xml:space="preserve">３　前項に反する本件残土が搬入されたことが判明したときは、▲▲砂利店は直ちにその受入れを中止して○○建設に通知し、○○建設は自己の責任と費用により当該残土を引き取る。この場合において▲▲砂利店に生じた費用及び損害は、○○建設の負担とする。</w:t>
      </w:r>
    </w:p>
    <w:p>
      <w:pPr>
        <w:keepNext/>
        <w:spacing w:after="80" w:before="220" w:line="300" w:lineRule="auto"/>
      </w:pPr>
      <w:r>
        <w:rPr>
          <w:rFonts w:ascii="ＭＳ ゴシック" w:eastAsia="ＭＳ ゴシック" w:hAnsi="ＭＳ ゴシック"/>
          <w:b/>
          <w:bCs/>
          <w:sz w:val="22"/>
          <w:szCs w:val="22"/>
        </w:rPr>
        <w:t xml:space="preserve">第５条（請負代金）</w:t>
      </w:r>
    </w:p>
    <w:p>
      <w:pPr>
        <w:spacing w:after="0" w:before="0" w:line="300" w:lineRule="auto"/>
        <w:ind w:left="210" w:hanging="0"/>
      </w:pPr>
      <w:r>
        <w:rPr>
          <w:rFonts w:ascii="ＭＳ 明朝" w:eastAsia="ＭＳ 明朝" w:hAnsi="ＭＳ 明朝"/>
          <w:b w:val="false"/>
          <w:bCs w:val="false"/>
          <w:sz w:val="21"/>
          <w:szCs w:val="21"/>
        </w:rPr>
        <w:t xml:space="preserve">請負代金は、別紙１のとおりとし、▲▲砂利店が受け入れた本件残土の数量に処分単価を乗じて得た額とする。</w:t>
      </w:r>
    </w:p>
    <w:p>
      <w:pPr>
        <w:spacing w:after="0" w:before="0" w:line="300" w:lineRule="auto"/>
        <w:ind w:left="210" w:hanging="210"/>
      </w:pPr>
      <w:r>
        <w:rPr>
          <w:rFonts w:ascii="ＭＳ 明朝" w:eastAsia="ＭＳ 明朝" w:hAnsi="ＭＳ 明朝"/>
          <w:b w:val="false"/>
          <w:bCs w:val="false"/>
          <w:sz w:val="21"/>
          <w:szCs w:val="21"/>
        </w:rPr>
        <w:t xml:space="preserve">２　処分単価は、第２条第１項各号の工程の全部を含む処分一式の対価であり、運搬それ自体の対価を含まない。</w:t>
      </w:r>
    </w:p>
    <w:p>
      <w:pPr>
        <w:spacing w:after="0" w:before="0" w:line="300" w:lineRule="auto"/>
        <w:ind w:left="210" w:hanging="210"/>
      </w:pPr>
      <w:r>
        <w:rPr>
          <w:rFonts w:ascii="ＭＳ 明朝" w:eastAsia="ＭＳ 明朝" w:hAnsi="ＭＳ 明朝"/>
          <w:b w:val="false"/>
          <w:bCs w:val="false"/>
          <w:sz w:val="21"/>
          <w:szCs w:val="21"/>
        </w:rPr>
        <w:t xml:space="preserve">３　○○建設及び▲▲砂利店は、本契約及び別紙１において、運賃、運搬費、横持ち費、車両費、回送費その他名目の如何を問わず、運搬を独立した対価の対象として計上しない。</w:t>
      </w:r>
    </w:p>
    <w:p>
      <w:pPr>
        <w:spacing w:after="0" w:before="0" w:line="300" w:lineRule="auto"/>
        <w:ind w:left="210" w:hanging="210"/>
      </w:pPr>
      <w:r>
        <w:rPr>
          <w:rFonts w:ascii="ＭＳ 明朝" w:eastAsia="ＭＳ 明朝" w:hAnsi="ＭＳ 明朝"/>
          <w:b w:val="false"/>
          <w:bCs w:val="false"/>
          <w:sz w:val="21"/>
          <w:szCs w:val="21"/>
        </w:rPr>
        <w:t xml:space="preserve">４　処分単価は、○○建設の工事現場と処分地との距離、運搬の回数又は使用する車両の台数に応じて定めるものではない。</w:t>
      </w:r>
    </w:p>
    <w:p>
      <w:pPr>
        <w:keepNext/>
        <w:spacing w:after="80" w:before="220" w:line="300" w:lineRule="auto"/>
      </w:pPr>
      <w:r>
        <w:rPr>
          <w:rFonts w:ascii="ＭＳ ゴシック" w:eastAsia="ＭＳ ゴシック" w:hAnsi="ＭＳ ゴシック"/>
          <w:b/>
          <w:bCs/>
          <w:sz w:val="22"/>
          <w:szCs w:val="22"/>
        </w:rPr>
        <w:t xml:space="preserve">第６条（数量の確認）</w:t>
      </w:r>
    </w:p>
    <w:p>
      <w:pPr>
        <w:spacing w:after="0" w:before="0" w:line="300" w:lineRule="auto"/>
        <w:ind w:left="210" w:hanging="0"/>
      </w:pPr>
      <w:r>
        <w:rPr>
          <w:rFonts w:ascii="ＭＳ 明朝" w:eastAsia="ＭＳ 明朝" w:hAnsi="ＭＳ 明朝"/>
          <w:b w:val="false"/>
          <w:bCs w:val="false"/>
          <w:sz w:val="21"/>
          <w:szCs w:val="21"/>
        </w:rPr>
        <w:t xml:space="preserve">本件残土の数量は、搬入ごとに▲▲砂利店が作成する受入伝票に記載された土量（立方メートル）の合計により確認する。</w:t>
      </w:r>
    </w:p>
    <w:p>
      <w:pPr>
        <w:spacing w:after="0" w:before="0" w:line="300" w:lineRule="auto"/>
        <w:ind w:left="210" w:hanging="210"/>
      </w:pPr>
      <w:r>
        <w:rPr>
          <w:rFonts w:ascii="ＭＳ 明朝" w:eastAsia="ＭＳ 明朝" w:hAnsi="ＭＳ 明朝"/>
          <w:b w:val="false"/>
          <w:bCs w:val="false"/>
          <w:sz w:val="21"/>
          <w:szCs w:val="21"/>
        </w:rPr>
        <w:t xml:space="preserve">２　▲▲砂利店は、受入伝票の写しを○○建設に交付し、その原本を本契約の終了後５年間保存する。</w:t>
      </w:r>
    </w:p>
    <w:p>
      <w:pPr>
        <w:spacing w:after="0" w:before="0" w:line="300" w:lineRule="auto"/>
        <w:ind w:left="210" w:hanging="210"/>
      </w:pPr>
      <w:r>
        <w:rPr>
          <w:rFonts w:ascii="ＭＳ 明朝" w:eastAsia="ＭＳ 明朝" w:hAnsi="ＭＳ 明朝"/>
          <w:b w:val="false"/>
          <w:bCs w:val="false"/>
          <w:sz w:val="21"/>
          <w:szCs w:val="21"/>
        </w:rPr>
        <w:t xml:space="preserve">３　○○建設又は▲▲砂利店は、相手方に対し、処分地における数量の確認に立ち会うことを求めることができる。</w:t>
      </w:r>
    </w:p>
    <w:p>
      <w:pPr>
        <w:keepNext/>
        <w:spacing w:after="80" w:before="220" w:line="300" w:lineRule="auto"/>
      </w:pPr>
      <w:r>
        <w:rPr>
          <w:rFonts w:ascii="ＭＳ ゴシック" w:eastAsia="ＭＳ ゴシック" w:hAnsi="ＭＳ ゴシック"/>
          <w:b/>
          <w:bCs/>
          <w:sz w:val="22"/>
          <w:szCs w:val="22"/>
        </w:rPr>
        <w:t xml:space="preserve">第７条（請負代金の支払）</w:t>
      </w:r>
    </w:p>
    <w:p>
      <w:pPr>
        <w:spacing w:after="0" w:before="0" w:line="300" w:lineRule="auto"/>
        <w:ind w:left="210" w:hanging="0"/>
      </w:pPr>
      <w:r>
        <w:rPr>
          <w:rFonts w:ascii="ＭＳ 明朝" w:eastAsia="ＭＳ 明朝" w:hAnsi="ＭＳ 明朝"/>
          <w:b w:val="false"/>
          <w:bCs w:val="false"/>
          <w:sz w:val="21"/>
          <w:szCs w:val="21"/>
        </w:rPr>
        <w:t xml:space="preserve">▲▲砂利店は、毎月末日で締め切り、当該月に受け入れた数量に基づく請負代金を○○建設に請求する。</w:t>
      </w:r>
    </w:p>
    <w:p>
      <w:pPr>
        <w:spacing w:after="0" w:before="0" w:line="300" w:lineRule="auto"/>
        <w:ind w:left="210" w:hanging="210"/>
      </w:pPr>
      <w:r>
        <w:rPr>
          <w:rFonts w:ascii="ＭＳ 明朝" w:eastAsia="ＭＳ 明朝" w:hAnsi="ＭＳ 明朝"/>
          <w:b w:val="false"/>
          <w:bCs w:val="false"/>
          <w:sz w:val="21"/>
          <w:szCs w:val="21"/>
        </w:rPr>
        <w:t xml:space="preserve">２　○○建設は、前項の請求を受けた日の属する月の翌月　　日までに、▲▲砂利店の指定する口座に振り込んで支払う。振込手数料は○○建設の負担とする。</w:t>
      </w:r>
    </w:p>
    <w:p>
      <w:pPr>
        <w:spacing w:after="0" w:before="0" w:line="300" w:lineRule="auto"/>
        <w:ind w:left="210" w:hanging="210"/>
      </w:pPr>
      <w:r>
        <w:rPr>
          <w:rFonts w:ascii="ＭＳ 明朝" w:eastAsia="ＭＳ 明朝" w:hAnsi="ＭＳ 明朝"/>
          <w:b w:val="false"/>
          <w:bCs w:val="false"/>
          <w:sz w:val="21"/>
          <w:szCs w:val="21"/>
        </w:rPr>
        <w:t xml:space="preserve">３　▲▲砂利店が○○建設に交付する請求書及びその明細書は、別紙１と同一の区分及び名目によるものとする。</w:t>
      </w:r>
    </w:p>
    <w:p>
      <w:pPr>
        <w:keepNext/>
        <w:spacing w:after="80" w:before="220" w:line="300" w:lineRule="auto"/>
      </w:pPr>
      <w:r>
        <w:rPr>
          <w:rFonts w:ascii="ＭＳ ゴシック" w:eastAsia="ＭＳ ゴシック" w:hAnsi="ＭＳ ゴシック"/>
          <w:b/>
          <w:bCs/>
          <w:sz w:val="22"/>
          <w:szCs w:val="22"/>
        </w:rPr>
        <w:t xml:space="preserve">第８条（引渡し及び所有権の移転）</w:t>
      </w:r>
    </w:p>
    <w:p>
      <w:pPr>
        <w:spacing w:after="0" w:before="0" w:line="300" w:lineRule="auto"/>
        <w:ind w:left="210" w:hanging="0"/>
      </w:pPr>
      <w:r>
        <w:rPr>
          <w:rFonts w:ascii="ＭＳ 明朝" w:eastAsia="ＭＳ 明朝" w:hAnsi="ＭＳ 明朝"/>
          <w:b w:val="false"/>
          <w:bCs w:val="false"/>
          <w:sz w:val="21"/>
          <w:szCs w:val="21"/>
        </w:rPr>
        <w:t xml:space="preserve">本件残土の引渡しは、○○建設の工事現場において▲▲砂利店の車両への積込みが完了した時に行われたものとする。</w:t>
      </w:r>
    </w:p>
    <w:p>
      <w:pPr>
        <w:spacing w:after="0" w:before="0" w:line="300" w:lineRule="auto"/>
        <w:ind w:left="210" w:hanging="210"/>
      </w:pPr>
      <w:r>
        <w:rPr>
          <w:rFonts w:ascii="ＭＳ 明朝" w:eastAsia="ＭＳ 明朝" w:hAnsi="ＭＳ 明朝"/>
          <w:b w:val="false"/>
          <w:bCs w:val="false"/>
          <w:sz w:val="21"/>
          <w:szCs w:val="21"/>
        </w:rPr>
        <w:t xml:space="preserve">２　本件残土の所有権は、前項の引渡しと同時に、○○建設から▲▲砂利店に移転する。</w:t>
      </w:r>
    </w:p>
    <w:p>
      <w:pPr>
        <w:spacing w:after="0" w:before="0" w:line="300" w:lineRule="auto"/>
        <w:ind w:left="210" w:hanging="210"/>
      </w:pPr>
      <w:r>
        <w:rPr>
          <w:rFonts w:ascii="ＭＳ 明朝" w:eastAsia="ＭＳ 明朝" w:hAnsi="ＭＳ 明朝"/>
          <w:b w:val="false"/>
          <w:bCs w:val="false"/>
          <w:sz w:val="21"/>
          <w:szCs w:val="21"/>
        </w:rPr>
        <w:t xml:space="preserve">３　前項の時以後、本件残土の処分の方法は、本契約及び関係法令の定めに従い、▲▲砂利店がこれを定める。</w:t>
      </w:r>
    </w:p>
    <w:p>
      <w:pPr>
        <w:keepNext/>
        <w:spacing w:after="80" w:before="220" w:line="300" w:lineRule="auto"/>
      </w:pPr>
      <w:r>
        <w:rPr>
          <w:rFonts w:ascii="ＭＳ ゴシック" w:eastAsia="ＭＳ ゴシック" w:hAnsi="ＭＳ ゴシック"/>
          <w:b/>
          <w:bCs/>
          <w:sz w:val="22"/>
          <w:szCs w:val="22"/>
        </w:rPr>
        <w:t xml:space="preserve">第９条（受入れ後の管理責任）</w:t>
      </w:r>
    </w:p>
    <w:p>
      <w:pPr>
        <w:spacing w:after="0" w:before="0" w:line="300" w:lineRule="auto"/>
        <w:ind w:left="210" w:hanging="0"/>
      </w:pPr>
      <w:r>
        <w:rPr>
          <w:rFonts w:ascii="ＭＳ 明朝" w:eastAsia="ＭＳ 明朝" w:hAnsi="ＭＳ 明朝"/>
          <w:b w:val="false"/>
          <w:bCs w:val="false"/>
          <w:sz w:val="21"/>
          <w:szCs w:val="21"/>
        </w:rPr>
        <w:t xml:space="preserve">処分地に受け入れた本件残土の管理及び災害の防止に係る責任は、▲▲砂利店が負う。</w:t>
      </w:r>
    </w:p>
    <w:p>
      <w:pPr>
        <w:spacing w:after="0" w:before="0" w:line="300" w:lineRule="auto"/>
        <w:ind w:left="210" w:hanging="210"/>
      </w:pPr>
      <w:r>
        <w:rPr>
          <w:rFonts w:ascii="ＭＳ 明朝" w:eastAsia="ＭＳ 明朝" w:hAnsi="ＭＳ 明朝"/>
          <w:b w:val="false"/>
          <w:bCs w:val="false"/>
          <w:sz w:val="21"/>
          <w:szCs w:val="21"/>
        </w:rPr>
        <w:t xml:space="preserve">２　宅地造成及び特定盛土等規制法その他の法令に基づき処分地における埋戻し及び整地について必要となる許可、届出その他の手続は、同法第２条第７号に規定する工事主となる者が、自己の責任と費用において行う。</w:t>
      </w:r>
    </w:p>
    <w:p>
      <w:pPr>
        <w:spacing w:after="0" w:before="0" w:line="300" w:lineRule="auto"/>
        <w:ind w:left="210" w:hanging="210"/>
      </w:pPr>
      <w:r>
        <w:rPr>
          <w:rFonts w:ascii="ＭＳ 明朝" w:eastAsia="ＭＳ 明朝" w:hAnsi="ＭＳ 明朝"/>
          <w:b w:val="false"/>
          <w:bCs w:val="false"/>
          <w:sz w:val="21"/>
          <w:szCs w:val="21"/>
        </w:rPr>
        <w:t xml:space="preserve">３　○○建設及び▲▲砂利店は、本契約の締結に先立ち、処分地が宅地造成等工事規制区域又は特定盛土等規制区域に指定されているか否か、及び本件埋戻しが同法上の許可を要する規模に当たるか否かを確認し、その結果を別紙２に記載する。</w:t>
      </w:r>
    </w:p>
    <w:p>
      <w:pPr>
        <w:keepNext/>
        <w:spacing w:after="80" w:before="220" w:line="300" w:lineRule="auto"/>
      </w:pPr>
      <w:r>
        <w:rPr>
          <w:rFonts w:ascii="ＭＳ ゴシック" w:eastAsia="ＭＳ ゴシック" w:hAnsi="ＭＳ ゴシック"/>
          <w:b/>
          <w:bCs/>
          <w:sz w:val="22"/>
          <w:szCs w:val="22"/>
        </w:rPr>
        <w:t xml:space="preserve">第10条（▲▲砂利店の体制）</w:t>
      </w:r>
    </w:p>
    <w:p>
      <w:pPr>
        <w:spacing w:after="0" w:before="0" w:line="300" w:lineRule="auto"/>
        <w:ind w:left="210" w:hanging="0"/>
      </w:pPr>
      <w:r>
        <w:rPr>
          <w:rFonts w:ascii="ＭＳ 明朝" w:eastAsia="ＭＳ 明朝" w:hAnsi="ＭＳ 明朝"/>
          <w:b w:val="false"/>
          <w:bCs w:val="false"/>
          <w:sz w:val="21"/>
          <w:szCs w:val="21"/>
        </w:rPr>
        <w:t xml:space="preserve">▲▲砂利店は、本契約に基づく業務を、▲▲砂利店と雇用関係にある従業員及び▲▲砂利店が保有し、又は使用する権原を有する車両により行う。</w:t>
      </w:r>
    </w:p>
    <w:p>
      <w:pPr>
        <w:spacing w:after="0" w:before="0" w:line="300" w:lineRule="auto"/>
        <w:ind w:left="210" w:hanging="210"/>
      </w:pPr>
      <w:r>
        <w:rPr>
          <w:rFonts w:ascii="ＭＳ 明朝" w:eastAsia="ＭＳ 明朝" w:hAnsi="ＭＳ 明朝"/>
          <w:b w:val="false"/>
          <w:bCs w:val="false"/>
          <w:sz w:val="21"/>
          <w:szCs w:val="21"/>
        </w:rPr>
        <w:t xml:space="preserve">２　前項の運転者について、▲▲砂利店は、労働契約を締結し、労働条件通知書を交付し、その報酬を給与として支払う。期間を定めて雇用する者及び日々雇い入れる者を含む。</w:t>
      </w:r>
    </w:p>
    <w:p>
      <w:pPr>
        <w:spacing w:after="0" w:before="0" w:line="300" w:lineRule="auto"/>
        <w:ind w:left="210" w:hanging="210"/>
      </w:pPr>
      <w:r>
        <w:rPr>
          <w:rFonts w:ascii="ＭＳ 明朝" w:eastAsia="ＭＳ 明朝" w:hAnsi="ＭＳ 明朝"/>
          <w:b w:val="false"/>
          <w:bCs w:val="false"/>
          <w:sz w:val="21"/>
          <w:szCs w:val="21"/>
        </w:rPr>
        <w:t xml:space="preserve">３　▲▲砂利店は、業務に使用する車両について、自動車検査証に記載された用途及び最大積載量の範囲内で使用する。</w:t>
      </w:r>
    </w:p>
    <w:p>
      <w:pPr>
        <w:keepNext/>
        <w:spacing w:after="80" w:before="220" w:line="300" w:lineRule="auto"/>
      </w:pPr>
      <w:r>
        <w:rPr>
          <w:rFonts w:ascii="ＭＳ ゴシック" w:eastAsia="ＭＳ ゴシック" w:hAnsi="ＭＳ ゴシック"/>
          <w:b/>
          <w:bCs/>
          <w:sz w:val="22"/>
          <w:szCs w:val="22"/>
        </w:rPr>
        <w:t xml:space="preserve">第11条（関係法令の遵守）</w:t>
      </w:r>
    </w:p>
    <w:p>
      <w:pPr>
        <w:spacing w:after="0" w:before="0" w:line="300" w:lineRule="auto"/>
        <w:ind w:left="210" w:hanging="0"/>
      </w:pPr>
      <w:r>
        <w:rPr>
          <w:rFonts w:ascii="ＭＳ 明朝" w:eastAsia="ＭＳ 明朝" w:hAnsi="ＭＳ 明朝"/>
          <w:b w:val="false"/>
          <w:bCs w:val="false"/>
          <w:sz w:val="21"/>
          <w:szCs w:val="21"/>
        </w:rPr>
        <w:t xml:space="preserve">▲▲砂利店は、本契約に基づく業務の遂行に当たり、次の法令その他の関係法令を遵守する。</w:t>
      </w:r>
    </w:p>
    <w:p>
      <w:pPr>
        <w:spacing w:after="0" w:before="0" w:line="300" w:lineRule="auto"/>
        <w:ind w:left="420" w:hanging="210"/>
      </w:pPr>
      <w:r>
        <w:rPr>
          <w:rFonts w:ascii="ＭＳ 明朝" w:eastAsia="ＭＳ 明朝" w:hAnsi="ＭＳ 明朝"/>
          <w:b w:val="false"/>
          <w:bCs w:val="false"/>
          <w:sz w:val="20"/>
          <w:szCs w:val="20"/>
        </w:rPr>
        <w:t xml:space="preserve">一　土砂等を運搬する大型自動車による交通事故の防止等に関する特別措置法（表示番号の指定申請及び表示＝同法３条・４条、自重計の装着＝同法６条を含む。）</w:t>
      </w:r>
    </w:p>
    <w:p>
      <w:pPr>
        <w:spacing w:after="0" w:before="0" w:line="300" w:lineRule="auto"/>
        <w:ind w:left="420" w:hanging="210"/>
      </w:pPr>
      <w:r>
        <w:rPr>
          <w:rFonts w:ascii="ＭＳ 明朝" w:eastAsia="ＭＳ 明朝" w:hAnsi="ＭＳ 明朝"/>
          <w:b w:val="false"/>
          <w:bCs w:val="false"/>
          <w:sz w:val="20"/>
          <w:szCs w:val="20"/>
        </w:rPr>
        <w:t xml:space="preserve">二　道路運送車両法及び道路交通法</w:t>
      </w:r>
    </w:p>
    <w:p>
      <w:pPr>
        <w:spacing w:after="0" w:before="0" w:line="300" w:lineRule="auto"/>
        <w:ind w:left="420" w:hanging="210"/>
      </w:pPr>
      <w:r>
        <w:rPr>
          <w:rFonts w:ascii="ＭＳ 明朝" w:eastAsia="ＭＳ 明朝" w:hAnsi="ＭＳ 明朝"/>
          <w:b w:val="false"/>
          <w:bCs w:val="false"/>
          <w:sz w:val="20"/>
          <w:szCs w:val="20"/>
        </w:rPr>
        <w:t xml:space="preserve">三　砂利採取法（処分地が同法第16条の認可に係る砂利採取場である場合における採取計画の遵守を含む。）</w:t>
      </w:r>
    </w:p>
    <w:p>
      <w:pPr>
        <w:spacing w:after="0" w:before="0" w:line="300" w:lineRule="auto"/>
        <w:ind w:left="420" w:hanging="210"/>
      </w:pPr>
      <w:r>
        <w:rPr>
          <w:rFonts w:ascii="ＭＳ 明朝" w:eastAsia="ＭＳ 明朝" w:hAnsi="ＭＳ 明朝"/>
          <w:b w:val="false"/>
          <w:bCs w:val="false"/>
          <w:sz w:val="20"/>
          <w:szCs w:val="20"/>
        </w:rPr>
        <w:t xml:space="preserve">四　宅地造成及び特定盛土等規制法</w:t>
      </w:r>
    </w:p>
    <w:p>
      <w:pPr>
        <w:spacing w:after="0" w:before="0" w:line="300" w:lineRule="auto"/>
        <w:ind w:left="420" w:hanging="210"/>
      </w:pPr>
      <w:r>
        <w:rPr>
          <w:rFonts w:ascii="ＭＳ 明朝" w:eastAsia="ＭＳ 明朝" w:hAnsi="ＭＳ 明朝"/>
          <w:b w:val="false"/>
          <w:bCs w:val="false"/>
          <w:sz w:val="20"/>
          <w:szCs w:val="20"/>
        </w:rPr>
        <w:t xml:space="preserve">五　廃棄物の処理及び清掃に関する法律</w:t>
      </w:r>
    </w:p>
    <w:p>
      <w:pPr>
        <w:spacing w:after="0" w:before="0" w:line="300" w:lineRule="auto"/>
        <w:ind w:left="420" w:hanging="210"/>
      </w:pPr>
      <w:r>
        <w:rPr>
          <w:rFonts w:ascii="ＭＳ 明朝" w:eastAsia="ＭＳ 明朝" w:hAnsi="ＭＳ 明朝"/>
          <w:b w:val="false"/>
          <w:bCs w:val="false"/>
          <w:sz w:val="20"/>
          <w:szCs w:val="20"/>
        </w:rPr>
        <w:t xml:space="preserve">六　処分地の所在する都道府県及び市町村の土砂等の埋立て等の規制に関する条例</w:t>
      </w:r>
    </w:p>
    <w:p>
      <w:pPr>
        <w:spacing w:after="0" w:before="0" w:line="300" w:lineRule="auto"/>
        <w:ind w:left="210" w:hanging="210"/>
      </w:pPr>
      <w:r>
        <w:rPr>
          <w:rFonts w:ascii="ＭＳ 明朝" w:eastAsia="ＭＳ 明朝" w:hAnsi="ＭＳ 明朝"/>
          <w:b w:val="false"/>
          <w:bCs w:val="false"/>
          <w:sz w:val="21"/>
          <w:szCs w:val="21"/>
        </w:rPr>
        <w:t xml:space="preserve">２　○○建設は、本件残土の発生者として、前項第５号及び第６号に基づき○○建設が行うべき手続を自己の責任において行う。</w:t>
      </w:r>
    </w:p>
    <w:p>
      <w:pPr>
        <w:keepNext/>
        <w:spacing w:after="80" w:before="220" w:line="300" w:lineRule="auto"/>
      </w:pPr>
      <w:r>
        <w:rPr>
          <w:rFonts w:ascii="ＭＳ ゴシック" w:eastAsia="ＭＳ ゴシック" w:hAnsi="ＭＳ ゴシック"/>
          <w:b/>
          <w:bCs/>
          <w:sz w:val="22"/>
          <w:szCs w:val="22"/>
        </w:rPr>
        <w:t xml:space="preserve">第12条（履行期間）</w:t>
      </w:r>
    </w:p>
    <w:p>
      <w:pPr>
        <w:spacing w:after="0" w:before="0" w:line="300" w:lineRule="auto"/>
        <w:ind w:left="210" w:hanging="0"/>
      </w:pPr>
      <w:r>
        <w:rPr>
          <w:rFonts w:ascii="ＭＳ 明朝" w:eastAsia="ＭＳ 明朝" w:hAnsi="ＭＳ 明朝"/>
          <w:b w:val="false"/>
          <w:bCs w:val="false"/>
          <w:sz w:val="21"/>
          <w:szCs w:val="21"/>
        </w:rPr>
        <w:t xml:space="preserve">履行期間は、　　年　　月　　日から　　年　　月　　日までとする。</w:t>
      </w:r>
    </w:p>
    <w:p>
      <w:pPr>
        <w:spacing w:after="0" w:before="0" w:line="300" w:lineRule="auto"/>
        <w:ind w:left="210" w:hanging="210"/>
      </w:pPr>
      <w:r>
        <w:rPr>
          <w:rFonts w:ascii="ＭＳ 明朝" w:eastAsia="ＭＳ 明朝" w:hAnsi="ＭＳ 明朝"/>
          <w:b w:val="false"/>
          <w:bCs w:val="false"/>
          <w:sz w:val="21"/>
          <w:szCs w:val="21"/>
        </w:rPr>
        <w:t xml:space="preserve">２　▲▲砂利店は、履行期間の末日までに、処分地における埋戻し及び整地を完了し、その旨を○○建設に書面で通知する。</w:t>
      </w:r>
    </w:p>
    <w:p>
      <w:pPr>
        <w:keepNext/>
        <w:spacing w:after="80" w:before="220" w:line="300" w:lineRule="auto"/>
      </w:pPr>
      <w:r>
        <w:rPr>
          <w:rFonts w:ascii="ＭＳ ゴシック" w:eastAsia="ＭＳ ゴシック" w:hAnsi="ＭＳ ゴシック"/>
          <w:b/>
          <w:bCs/>
          <w:sz w:val="22"/>
          <w:szCs w:val="22"/>
        </w:rPr>
        <w:t xml:space="preserve">第13条（損害の負担）</w:t>
      </w:r>
    </w:p>
    <w:p>
      <w:pPr>
        <w:spacing w:after="0" w:before="0" w:line="300" w:lineRule="auto"/>
        <w:ind w:left="210" w:hanging="0"/>
      </w:pPr>
      <w:r>
        <w:rPr>
          <w:rFonts w:ascii="ＭＳ 明朝" w:eastAsia="ＭＳ 明朝" w:hAnsi="ＭＳ 明朝"/>
          <w:b w:val="false"/>
          <w:bCs w:val="false"/>
          <w:sz w:val="21"/>
          <w:szCs w:val="21"/>
        </w:rPr>
        <w:t xml:space="preserve">業務の遂行に伴い第三者に損害を与えたときは、▲▲砂利店がその賠償の責めを負う。ただし、その損害が○○建設の責めに帰すべき事由により生じたときは、○○建設の負担とする。</w:t>
      </w:r>
    </w:p>
    <w:p>
      <w:pPr>
        <w:spacing w:after="0" w:before="0" w:line="300" w:lineRule="auto"/>
        <w:ind w:left="210" w:hanging="210"/>
      </w:pPr>
      <w:r>
        <w:rPr>
          <w:rFonts w:ascii="ＭＳ 明朝" w:eastAsia="ＭＳ 明朝" w:hAnsi="ＭＳ 明朝"/>
          <w:b w:val="false"/>
          <w:bCs w:val="false"/>
          <w:sz w:val="21"/>
          <w:szCs w:val="21"/>
        </w:rPr>
        <w:t xml:space="preserve">２　▲▲砂利店は、業務に使用する車両について、自動車損害賠償責任保険のほか任意保険に加入する。</w:t>
      </w:r>
    </w:p>
    <w:p>
      <w:pPr>
        <w:keepNext/>
        <w:spacing w:after="80" w:before="220" w:line="300" w:lineRule="auto"/>
      </w:pPr>
      <w:r>
        <w:rPr>
          <w:rFonts w:ascii="ＭＳ ゴシック" w:eastAsia="ＭＳ ゴシック" w:hAnsi="ＭＳ ゴシック"/>
          <w:b/>
          <w:bCs/>
          <w:sz w:val="22"/>
          <w:szCs w:val="22"/>
        </w:rPr>
        <w:t xml:space="preserve">第14条（契約の変更）</w:t>
      </w:r>
    </w:p>
    <w:p>
      <w:pPr>
        <w:spacing w:after="0" w:before="0" w:line="300" w:lineRule="auto"/>
        <w:ind w:left="210" w:hanging="0"/>
      </w:pPr>
      <w:r>
        <w:rPr>
          <w:rFonts w:ascii="ＭＳ 明朝" w:eastAsia="ＭＳ 明朝" w:hAnsi="ＭＳ 明朝"/>
          <w:b w:val="false"/>
          <w:bCs w:val="false"/>
          <w:sz w:val="21"/>
          <w:szCs w:val="21"/>
        </w:rPr>
        <w:t xml:space="preserve">本契約の内容を変更するときは、○○建設及び▲▲砂利店が書面により合意する。</w:t>
      </w:r>
    </w:p>
    <w:p>
      <w:pPr>
        <w:spacing w:after="0" w:before="0" w:line="300" w:lineRule="auto"/>
        <w:ind w:left="210" w:hanging="210"/>
      </w:pPr>
      <w:r>
        <w:rPr>
          <w:rFonts w:ascii="ＭＳ 明朝" w:eastAsia="ＭＳ 明朝" w:hAnsi="ＭＳ 明朝"/>
          <w:b w:val="false"/>
          <w:bCs w:val="false"/>
          <w:sz w:val="21"/>
          <w:szCs w:val="21"/>
        </w:rPr>
        <w:t xml:space="preserve">２　本件残土の数量、性状又は処分地が当初の前提と著しく異なることとなったときは、○○建設及び▲▲砂利店が協議のうえ、処分単価又は履行期間を変更することができる。</w:t>
      </w:r>
    </w:p>
    <w:p>
      <w:pPr>
        <w:keepNext/>
        <w:spacing w:after="80" w:before="220" w:line="300" w:lineRule="auto"/>
      </w:pPr>
      <w:r>
        <w:rPr>
          <w:rFonts w:ascii="ＭＳ ゴシック" w:eastAsia="ＭＳ ゴシック" w:hAnsi="ＭＳ ゴシック"/>
          <w:b/>
          <w:bCs/>
          <w:sz w:val="22"/>
          <w:szCs w:val="22"/>
        </w:rPr>
        <w:t xml:space="preserve">第15条（解除）</w:t>
      </w:r>
    </w:p>
    <w:p>
      <w:pPr>
        <w:spacing w:after="0" w:before="0" w:line="300" w:lineRule="auto"/>
        <w:ind w:left="210" w:hanging="0"/>
      </w:pPr>
      <w:r>
        <w:rPr>
          <w:rFonts w:ascii="ＭＳ 明朝" w:eastAsia="ＭＳ 明朝" w:hAnsi="ＭＳ 明朝"/>
          <w:b w:val="false"/>
          <w:bCs w:val="false"/>
          <w:sz w:val="21"/>
          <w:szCs w:val="21"/>
        </w:rPr>
        <w:t xml:space="preserve">○○建設又は▲▲砂利店は、相手方が本契約に違反し、相当の期間を定めて催告してもなお是正しないときは、本契約を解除することができる。</w:t>
      </w:r>
    </w:p>
    <w:p>
      <w:pPr>
        <w:spacing w:after="0" w:before="0" w:line="300" w:lineRule="auto"/>
        <w:ind w:left="210" w:hanging="210"/>
      </w:pPr>
      <w:r>
        <w:rPr>
          <w:rFonts w:ascii="ＭＳ 明朝" w:eastAsia="ＭＳ 明朝" w:hAnsi="ＭＳ 明朝"/>
          <w:b w:val="false"/>
          <w:bCs w:val="false"/>
          <w:sz w:val="21"/>
          <w:szCs w:val="21"/>
        </w:rPr>
        <w:t xml:space="preserve">２　▲▲砂利店が第10条又は第11条に違反したときは、○○建設は、催告することなく本契約を解除することができる。</w:t>
      </w:r>
    </w:p>
    <w:p>
      <w:pPr>
        <w:keepNext/>
        <w:spacing w:after="80" w:before="220" w:line="300" w:lineRule="auto"/>
      </w:pPr>
      <w:r>
        <w:rPr>
          <w:rFonts w:ascii="ＭＳ ゴシック" w:eastAsia="ＭＳ ゴシック" w:hAnsi="ＭＳ ゴシック"/>
          <w:b/>
          <w:bCs/>
          <w:sz w:val="22"/>
          <w:szCs w:val="22"/>
        </w:rPr>
        <w:t xml:space="preserve">第16条（協議）</w:t>
      </w:r>
    </w:p>
    <w:p>
      <w:pPr>
        <w:spacing w:after="0" w:before="0" w:line="300" w:lineRule="auto"/>
        <w:ind w:left="210" w:hanging="0"/>
      </w:pPr>
      <w:r>
        <w:rPr>
          <w:rFonts w:ascii="ＭＳ 明朝" w:eastAsia="ＭＳ 明朝" w:hAnsi="ＭＳ 明朝"/>
          <w:b w:val="false"/>
          <w:bCs w:val="false"/>
          <w:sz w:val="21"/>
          <w:szCs w:val="21"/>
        </w:rPr>
        <w:t xml:space="preserve">本契約に定めのない事項又は本契約の解釈について疑義が生じた事項は、○○建設及び▲▲砂利店が誠意をもって協議して定める。</w:t>
      </w:r>
    </w:p>
    <w:p>
      <w:pPr>
        <w:spacing w:after="0" w:before="0" w:line="300" w:lineRule="auto"/>
      </w:pPr>
    </w:p>
    <w:p>
      <w:pPr>
        <w:keepNext/>
        <w:spacing w:after="240" w:before="0" w:line="300" w:lineRule="auto"/>
        <w:ind w:firstLine="210"/>
      </w:pPr>
      <w:r>
        <w:rPr>
          <w:rFonts w:ascii="ＭＳ 明朝" w:eastAsia="ＭＳ 明朝" w:hAnsi="ＭＳ 明朝"/>
          <w:b w:val="false"/>
          <w:bCs w:val="false"/>
          <w:sz w:val="21"/>
          <w:szCs w:val="21"/>
        </w:rPr>
        <w:t xml:space="preserve">本契約の成立を証するため本書２通を作成し、○○建設及び▲▲砂利店が記名押印のうえ、各１通を保有する。</w:t>
      </w:r>
    </w:p>
    <w:p>
      <w:pPr>
        <w:keepNext/>
        <w:spacing w:after="240" w:before="0" w:line="300" w:lineRule="auto"/>
      </w:pPr>
      <w:r>
        <w:rPr>
          <w:rFonts w:ascii="ＭＳ 明朝" w:eastAsia="ＭＳ 明朝" w:hAnsi="ＭＳ 明朝"/>
          <w:b w:val="false"/>
          <w:bCs w:val="false"/>
          <w:sz w:val="21"/>
          <w:szCs w:val="21"/>
        </w:rPr>
        <w:t xml:space="preserve">　　　　年　　　月　　　日</w:t>
      </w:r>
    </w:p>
    <w:p>
      <w:pPr>
        <w:keepNext/>
        <w:spacing w:after="60" w:before="0" w:line="300" w:lineRule="auto"/>
      </w:pPr>
      <w:r>
        <w:rPr>
          <w:rFonts w:ascii="ＭＳ ゴシック" w:eastAsia="ＭＳ ゴシック" w:hAnsi="ＭＳ ゴシック"/>
          <w:b/>
          <w:bCs/>
          <w:sz w:val="21"/>
          <w:szCs w:val="21"/>
        </w:rPr>
        <w:t xml:space="preserve">発注者（○○建設）</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c>
          <w:tcPr>
            <w:tcW w:type="dxa" w:w="1700"/>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所在地</w:t>
            </w:r>
          </w:p>
        </w:tc>
        <w:tc>
          <w:tcPr>
            <w:tcW w:type="dxa" w:w="7372"/>
            <w:tcBorders>
              <w:top w:val="none"/>
              <w:left w:val="none"/>
              <w:bottom w:val="none"/>
              <w:right w:val="none"/>
            </w:tcBorders>
            <w:tcMar>
              <w:top w:type="dxa" w:w="70"/>
              <w:left w:type="dxa" w:w="100"/>
              <w:bottom w:type="dxa" w:w="70"/>
              <w:right w:type="dxa" w:w="100"/>
            </w:tcMar>
            <w:vAlign w:val="center"/>
          </w:tcPr>
          <w:p>
            <w:pPr>
              <w:spacing w:line="250" w:lineRule="auto"/>
            </w:pP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c>
          <w:tcPr>
            <w:tcW w:type="dxa" w:w="1700"/>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商号</w:t>
            </w:r>
          </w:p>
        </w:tc>
        <w:tc>
          <w:tcPr>
            <w:tcW w:type="dxa" w:w="7372"/>
            <w:tcBorders>
              <w:top w:val="none"/>
              <w:left w:val="none"/>
              <w:bottom w:val="none"/>
              <w:right w:val="none"/>
            </w:tcBorders>
            <w:tcMar>
              <w:top w:type="dxa" w:w="70"/>
              <w:left w:type="dxa" w:w="100"/>
              <w:bottom w:type="dxa" w:w="70"/>
              <w:right w:type="dxa" w:w="100"/>
            </w:tcMar>
            <w:vAlign w:val="center"/>
          </w:tcPr>
          <w:p>
            <w:pPr>
              <w:spacing w:line="250" w:lineRule="auto"/>
            </w:pP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c>
          <w:tcPr>
            <w:tcW w:type="dxa" w:w="1700"/>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代表者</w:t>
            </w:r>
          </w:p>
        </w:tc>
        <w:tc>
          <w:tcPr>
            <w:tcW w:type="dxa" w:w="7372"/>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印</w:t>
            </w:r>
          </w:p>
        </w:tc>
      </w:tr>
    </w:tbl>
    <w:p>
      <w:pPr>
        <w:spacing w:after="160" w:before="0" w:line="300" w:lineRule="auto"/>
      </w:pPr>
    </w:p>
    <w:p>
      <w:pPr>
        <w:keepNext/>
        <w:spacing w:after="60" w:before="0" w:line="300" w:lineRule="auto"/>
      </w:pPr>
      <w:r>
        <w:rPr>
          <w:rFonts w:ascii="ＭＳ ゴシック" w:eastAsia="ＭＳ ゴシック" w:hAnsi="ＭＳ ゴシック"/>
          <w:b/>
          <w:bCs/>
          <w:sz w:val="21"/>
          <w:szCs w:val="21"/>
        </w:rPr>
        <w:t xml:space="preserve">受注者（▲▲砂利店）</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c>
          <w:tcPr>
            <w:tcW w:type="dxa" w:w="1700"/>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所在地</w:t>
            </w:r>
          </w:p>
        </w:tc>
        <w:tc>
          <w:tcPr>
            <w:tcW w:type="dxa" w:w="7372"/>
            <w:tcBorders>
              <w:top w:val="none"/>
              <w:left w:val="none"/>
              <w:bottom w:val="none"/>
              <w:right w:val="none"/>
            </w:tcBorders>
            <w:tcMar>
              <w:top w:type="dxa" w:w="70"/>
              <w:left w:type="dxa" w:w="100"/>
              <w:bottom w:type="dxa" w:w="70"/>
              <w:right w:type="dxa" w:w="100"/>
            </w:tcMar>
            <w:vAlign w:val="center"/>
          </w:tcPr>
          <w:p>
            <w:pPr>
              <w:spacing w:line="250" w:lineRule="auto"/>
            </w:pP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c>
          <w:tcPr>
            <w:tcW w:type="dxa" w:w="1700"/>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商号</w:t>
            </w:r>
          </w:p>
        </w:tc>
        <w:tc>
          <w:tcPr>
            <w:tcW w:type="dxa" w:w="7372"/>
            <w:tcBorders>
              <w:top w:val="none"/>
              <w:left w:val="none"/>
              <w:bottom w:val="none"/>
              <w:right w:val="none"/>
            </w:tcBorders>
            <w:tcMar>
              <w:top w:type="dxa" w:w="70"/>
              <w:left w:type="dxa" w:w="100"/>
              <w:bottom w:type="dxa" w:w="70"/>
              <w:right w:type="dxa" w:w="100"/>
            </w:tcMar>
            <w:vAlign w:val="center"/>
          </w:tcPr>
          <w:p>
            <w:pPr>
              <w:spacing w:line="250" w:lineRule="auto"/>
            </w:pP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72"/>
      </w:tblGrid>
      <w:tr>
        <w:tc>
          <w:tcPr>
            <w:tcW w:type="dxa" w:w="1700"/>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代表者</w:t>
            </w:r>
          </w:p>
        </w:tc>
        <w:tc>
          <w:tcPr>
            <w:tcW w:type="dxa" w:w="7372"/>
            <w:tcBorders>
              <w:top w:val="none"/>
              <w:left w:val="none"/>
              <w:bottom w:val="none"/>
              <w:right w:val="none"/>
            </w:tcBorders>
            <w:tcMar>
              <w:top w:type="dxa" w:w="70"/>
              <w:left w:type="dxa" w:w="100"/>
              <w:bottom w:type="dxa" w:w="70"/>
              <w:right w:type="dxa" w:w="100"/>
            </w:tcMar>
            <w:vAlign w:val="center"/>
          </w:tcPr>
          <w:p>
            <w:pPr>
              <w:spacing w:line="250" w:lineRule="auto"/>
            </w:pPr>
            <w:r>
              <w:rPr>
                <w:rFonts w:ascii="ＭＳ 明朝" w:eastAsia="ＭＳ 明朝" w:hAnsi="ＭＳ 明朝"/>
                <w:b w:val="false"/>
                <w:bCs w:val="false"/>
                <w:sz w:val="20"/>
                <w:szCs w:val="20"/>
              </w:rPr>
              <w:t xml:space="preserve">　　　　　　　　　　　　　　　　　　　　　　　印</w:t>
            </w:r>
          </w:p>
        </w:tc>
      </w:tr>
    </w:tbl>
    <w:p>
      <w:pPr>
        <w:spacing w:after="160" w:before="0" w:line="300" w:lineRule="auto"/>
      </w:pPr>
    </w:p>
    <w:p>
      <w:pPr>
        <w:pageBreakBefore/>
        <w:spacing w:after="200" w:before="0" w:line="300" w:lineRule="auto"/>
      </w:pPr>
      <w:r>
        <w:rPr>
          <w:rFonts w:ascii="ＭＳ ゴシック" w:eastAsia="ＭＳ ゴシック" w:hAnsi="ＭＳ ゴシック"/>
          <w:b/>
          <w:bCs/>
          <w:sz w:val="24"/>
          <w:szCs w:val="24"/>
        </w:rPr>
        <w:t xml:space="preserve">別紙１　業務範囲及び請負代金内訳書</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400"/>
        <w:gridCol w:w="900"/>
        <w:gridCol w:w="700"/>
        <w:gridCol w:w="1300"/>
        <w:gridCol w:w="1672"/>
      </w:tblGrid>
      <w:tr>
        <w:tc>
          <w:tcPr>
            <w:tcW w:type="dxa" w:w="11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区分</w:t>
            </w:r>
          </w:p>
        </w:tc>
        <w:tc>
          <w:tcPr>
            <w:tcW w:type="dxa" w:w="34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内容</w:t>
            </w:r>
          </w:p>
        </w:tc>
        <w:tc>
          <w:tcPr>
            <w:tcW w:type="dxa" w:w="9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数量</w:t>
            </w:r>
          </w:p>
        </w:tc>
        <w:tc>
          <w:tcPr>
            <w:tcW w:type="dxa" w:w="7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単位</w:t>
            </w:r>
          </w:p>
        </w:tc>
        <w:tc>
          <w:tcPr>
            <w:tcW w:type="dxa" w:w="13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単価</w:t>
            </w:r>
          </w:p>
        </w:tc>
        <w:tc>
          <w:tcPr>
            <w:tcW w:type="dxa" w:w="1672"/>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金額</w:t>
            </w:r>
          </w:p>
        </w:tc>
      </w:tr>
      <w:tr>
        <w:tc>
          <w:tcPr>
            <w:tcW w:type="dxa" w:w="1100"/>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9"/>
                <w:szCs w:val="19"/>
              </w:rPr>
              <w:t xml:space="preserve">残土処分</w:t>
            </w:r>
          </w:p>
        </w:tc>
        <w:tc>
          <w:tcPr>
            <w:tcW w:type="dxa" w:w="3400"/>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9"/>
                <w:szCs w:val="19"/>
              </w:rPr>
              <w:t xml:space="preserve">積込み・運搬・受入れ・荷卸し・敷均し・転圧・埋戻し・整地　一式</w:t>
            </w:r>
          </w:p>
        </w:tc>
        <w:tc>
          <w:tcPr>
            <w:tcW w:type="dxa" w:w="900"/>
            <w:tcMar>
              <w:top w:type="dxa" w:w="70"/>
              <w:left w:type="dxa" w:w="100"/>
              <w:bottom w:type="dxa" w:w="70"/>
              <w:right w:type="dxa" w:w="100"/>
            </w:tcMar>
            <w:vAlign w:val="top"/>
          </w:tcPr>
          <w:p>
            <w:pPr>
              <w:spacing w:line="250" w:lineRule="auto"/>
              <w:jc w:val="center"/>
            </w:pPr>
          </w:p>
        </w:tc>
        <w:tc>
          <w:tcPr>
            <w:tcW w:type="dxa" w:w="700"/>
            <w:tcMar>
              <w:top w:type="dxa" w:w="70"/>
              <w:left w:type="dxa" w:w="100"/>
              <w:bottom w:type="dxa" w:w="70"/>
              <w:right w:type="dxa" w:w="100"/>
            </w:tcMar>
            <w:vAlign w:val="top"/>
          </w:tcPr>
          <w:p>
            <w:pPr>
              <w:spacing w:line="250" w:lineRule="auto"/>
              <w:jc w:val="center"/>
            </w:pPr>
            <w:r>
              <w:rPr>
                <w:rFonts w:ascii="ＭＳ 明朝" w:eastAsia="ＭＳ 明朝" w:hAnsi="ＭＳ 明朝"/>
                <w:b w:val="false"/>
                <w:bCs w:val="false"/>
                <w:sz w:val="19"/>
                <w:szCs w:val="19"/>
              </w:rPr>
              <w:t xml:space="preserve">㎥</w:t>
            </w:r>
          </w:p>
        </w:tc>
        <w:tc>
          <w:tcPr>
            <w:tcW w:type="dxa" w:w="1300"/>
            <w:tcMar>
              <w:top w:type="dxa" w:w="70"/>
              <w:left w:type="dxa" w:w="100"/>
              <w:bottom w:type="dxa" w:w="70"/>
              <w:right w:type="dxa" w:w="100"/>
            </w:tcMar>
            <w:vAlign w:val="top"/>
          </w:tcPr>
          <w:p>
            <w:pPr>
              <w:spacing w:line="250" w:lineRule="auto"/>
              <w:jc w:val="center"/>
            </w:pPr>
          </w:p>
        </w:tc>
        <w:tc>
          <w:tcPr>
            <w:tcW w:type="dxa" w:w="1672"/>
            <w:tcMar>
              <w:top w:type="dxa" w:w="70"/>
              <w:left w:type="dxa" w:w="100"/>
              <w:bottom w:type="dxa" w:w="70"/>
              <w:right w:type="dxa" w:w="100"/>
            </w:tcMar>
            <w:vAlign w:val="top"/>
          </w:tcPr>
          <w:p>
            <w:pPr>
              <w:spacing w:line="250" w:lineRule="auto"/>
              <w:jc w:val="center"/>
            </w:pPr>
          </w:p>
        </w:tc>
      </w:tr>
      <w:tr>
        <w:tc>
          <w:tcPr>
            <w:tcW w:type="dxa" w:w="1100"/>
            <w:tcMar>
              <w:top w:type="dxa" w:w="70"/>
              <w:left w:type="dxa" w:w="100"/>
              <w:bottom w:type="dxa" w:w="70"/>
              <w:right w:type="dxa" w:w="100"/>
            </w:tcMar>
            <w:vAlign w:val="top"/>
          </w:tcPr>
          <w:p>
            <w:pPr>
              <w:spacing w:line="250" w:lineRule="auto"/>
            </w:pPr>
          </w:p>
        </w:tc>
        <w:tc>
          <w:tcPr>
            <w:tcW w:type="dxa" w:w="3400"/>
            <w:tcMar>
              <w:top w:type="dxa" w:w="70"/>
              <w:left w:type="dxa" w:w="100"/>
              <w:bottom w:type="dxa" w:w="70"/>
              <w:right w:type="dxa" w:w="100"/>
            </w:tcMar>
            <w:vAlign w:val="top"/>
          </w:tcPr>
          <w:p>
            <w:pPr>
              <w:spacing w:line="250" w:lineRule="auto"/>
            </w:pPr>
          </w:p>
        </w:tc>
        <w:tc>
          <w:tcPr>
            <w:tcW w:type="dxa" w:w="900"/>
            <w:tcMar>
              <w:top w:type="dxa" w:w="70"/>
              <w:left w:type="dxa" w:w="100"/>
              <w:bottom w:type="dxa" w:w="70"/>
              <w:right w:type="dxa" w:w="100"/>
            </w:tcMar>
            <w:vAlign w:val="top"/>
          </w:tcPr>
          <w:p>
            <w:pPr>
              <w:spacing w:line="250" w:lineRule="auto"/>
              <w:jc w:val="center"/>
            </w:pPr>
          </w:p>
        </w:tc>
        <w:tc>
          <w:tcPr>
            <w:tcW w:type="dxa" w:w="700"/>
            <w:tcMar>
              <w:top w:type="dxa" w:w="70"/>
              <w:left w:type="dxa" w:w="100"/>
              <w:bottom w:type="dxa" w:w="70"/>
              <w:right w:type="dxa" w:w="100"/>
            </w:tcMar>
            <w:vAlign w:val="top"/>
          </w:tcPr>
          <w:p>
            <w:pPr>
              <w:spacing w:line="250" w:lineRule="auto"/>
              <w:jc w:val="center"/>
            </w:pPr>
          </w:p>
        </w:tc>
        <w:tc>
          <w:tcPr>
            <w:tcW w:type="dxa" w:w="1300"/>
            <w:tcMar>
              <w:top w:type="dxa" w:w="70"/>
              <w:left w:type="dxa" w:w="100"/>
              <w:bottom w:type="dxa" w:w="70"/>
              <w:right w:type="dxa" w:w="100"/>
            </w:tcMar>
            <w:vAlign w:val="top"/>
          </w:tcPr>
          <w:p>
            <w:pPr>
              <w:spacing w:line="250" w:lineRule="auto"/>
              <w:jc w:val="center"/>
            </w:pPr>
          </w:p>
        </w:tc>
        <w:tc>
          <w:tcPr>
            <w:tcW w:type="dxa" w:w="1672"/>
            <w:tcMar>
              <w:top w:type="dxa" w:w="70"/>
              <w:left w:type="dxa" w:w="100"/>
              <w:bottom w:type="dxa" w:w="70"/>
              <w:right w:type="dxa" w:w="100"/>
            </w:tcMar>
            <w:vAlign w:val="top"/>
          </w:tcPr>
          <w:p>
            <w:pPr>
              <w:spacing w:line="250" w:lineRule="auto"/>
              <w:jc w:val="center"/>
            </w:pPr>
          </w:p>
        </w:tc>
      </w:tr>
      <w:tr>
        <w:tc>
          <w:tcPr>
            <w:tcW w:type="dxa" w:w="1100"/>
            <w:tcMar>
              <w:top w:type="dxa" w:w="70"/>
              <w:left w:type="dxa" w:w="100"/>
              <w:bottom w:type="dxa" w:w="70"/>
              <w:right w:type="dxa" w:w="100"/>
            </w:tcMar>
            <w:vAlign w:val="top"/>
          </w:tcPr>
          <w:p>
            <w:pPr>
              <w:spacing w:line="250" w:lineRule="auto"/>
            </w:pPr>
          </w:p>
        </w:tc>
        <w:tc>
          <w:tcPr>
            <w:tcW w:type="dxa" w:w="3400"/>
            <w:tcMar>
              <w:top w:type="dxa" w:w="70"/>
              <w:left w:type="dxa" w:w="100"/>
              <w:bottom w:type="dxa" w:w="70"/>
              <w:right w:type="dxa" w:w="100"/>
            </w:tcMar>
            <w:vAlign w:val="top"/>
          </w:tcPr>
          <w:p>
            <w:pPr>
              <w:spacing w:line="250" w:lineRule="auto"/>
            </w:pPr>
          </w:p>
        </w:tc>
        <w:tc>
          <w:tcPr>
            <w:tcW w:type="dxa" w:w="900"/>
            <w:tcMar>
              <w:top w:type="dxa" w:w="70"/>
              <w:left w:type="dxa" w:w="100"/>
              <w:bottom w:type="dxa" w:w="70"/>
              <w:right w:type="dxa" w:w="100"/>
            </w:tcMar>
            <w:vAlign w:val="top"/>
          </w:tcPr>
          <w:p>
            <w:pPr>
              <w:spacing w:line="250" w:lineRule="auto"/>
              <w:jc w:val="center"/>
            </w:pPr>
          </w:p>
        </w:tc>
        <w:tc>
          <w:tcPr>
            <w:tcW w:type="dxa" w:w="700"/>
            <w:tcMar>
              <w:top w:type="dxa" w:w="70"/>
              <w:left w:type="dxa" w:w="100"/>
              <w:bottom w:type="dxa" w:w="70"/>
              <w:right w:type="dxa" w:w="100"/>
            </w:tcMar>
            <w:vAlign w:val="top"/>
          </w:tcPr>
          <w:p>
            <w:pPr>
              <w:spacing w:line="250" w:lineRule="auto"/>
              <w:jc w:val="center"/>
            </w:pPr>
          </w:p>
        </w:tc>
        <w:tc>
          <w:tcPr>
            <w:tcW w:type="dxa" w:w="1300"/>
            <w:tcMar>
              <w:top w:type="dxa" w:w="70"/>
              <w:left w:type="dxa" w:w="100"/>
              <w:bottom w:type="dxa" w:w="70"/>
              <w:right w:type="dxa" w:w="100"/>
            </w:tcMar>
            <w:vAlign w:val="top"/>
          </w:tcPr>
          <w:p>
            <w:pPr>
              <w:spacing w:line="250" w:lineRule="auto"/>
              <w:jc w:val="center"/>
            </w:pPr>
          </w:p>
        </w:tc>
        <w:tc>
          <w:tcPr>
            <w:tcW w:type="dxa" w:w="1672"/>
            <w:tcMar>
              <w:top w:type="dxa" w:w="70"/>
              <w:left w:type="dxa" w:w="100"/>
              <w:bottom w:type="dxa" w:w="70"/>
              <w:right w:type="dxa" w:w="100"/>
            </w:tcMar>
            <w:vAlign w:val="top"/>
          </w:tcPr>
          <w:p>
            <w:pPr>
              <w:spacing w:line="250" w:lineRule="auto"/>
              <w:jc w:val="center"/>
            </w:pPr>
          </w:p>
        </w:tc>
      </w:tr>
      <w:tr>
        <w:tc>
          <w:tcPr>
            <w:tcW w:type="dxa" w:w="1100"/>
            <w:shd w:fill="E8ECF0" w:color="auto" w:val="clear"/>
            <w:tcMar>
              <w:top w:type="dxa" w:w="70"/>
              <w:left w:type="dxa" w:w="100"/>
              <w:bottom w:type="dxa" w:w="70"/>
              <w:right w:type="dxa" w:w="100"/>
            </w:tcMar>
            <w:vAlign w:val="center"/>
          </w:tcPr>
          <w:p>
            <w:pPr>
              <w:spacing w:line="250" w:lineRule="auto"/>
              <w:jc w:val="center"/>
            </w:pPr>
            <w:r>
              <w:rPr>
                <w:rFonts w:ascii="ＭＳ ゴシック" w:eastAsia="ＭＳ ゴシック" w:hAnsi="ＭＳ ゴシック"/>
                <w:b/>
                <w:bCs/>
                <w:sz w:val="19"/>
                <w:szCs w:val="19"/>
              </w:rPr>
              <w:t xml:space="preserve">合計</w:t>
            </w:r>
          </w:p>
        </w:tc>
        <w:tc>
          <w:tcPr>
            <w:tcW w:type="dxa" w:w="3400"/>
            <w:shd w:fill="E8ECF0" w:color="auto" w:val="clear"/>
            <w:tcMar>
              <w:top w:type="dxa" w:w="70"/>
              <w:left w:type="dxa" w:w="100"/>
              <w:bottom w:type="dxa" w:w="70"/>
              <w:right w:type="dxa" w:w="100"/>
            </w:tcMar>
            <w:vAlign w:val="center"/>
          </w:tcPr>
          <w:p>
            <w:pPr>
              <w:spacing w:line="250" w:lineRule="auto"/>
              <w:jc w:val="center"/>
            </w:pPr>
          </w:p>
        </w:tc>
        <w:tc>
          <w:tcPr>
            <w:tcW w:type="dxa" w:w="900"/>
            <w:shd w:fill="E8ECF0" w:color="auto" w:val="clear"/>
            <w:tcMar>
              <w:top w:type="dxa" w:w="70"/>
              <w:left w:type="dxa" w:w="100"/>
              <w:bottom w:type="dxa" w:w="70"/>
              <w:right w:type="dxa" w:w="100"/>
            </w:tcMar>
            <w:vAlign w:val="center"/>
          </w:tcPr>
          <w:p>
            <w:pPr>
              <w:spacing w:line="250" w:lineRule="auto"/>
              <w:jc w:val="center"/>
            </w:pPr>
          </w:p>
        </w:tc>
        <w:tc>
          <w:tcPr>
            <w:tcW w:type="dxa" w:w="700"/>
            <w:shd w:fill="E8ECF0" w:color="auto" w:val="clear"/>
            <w:tcMar>
              <w:top w:type="dxa" w:w="70"/>
              <w:left w:type="dxa" w:w="100"/>
              <w:bottom w:type="dxa" w:w="70"/>
              <w:right w:type="dxa" w:w="100"/>
            </w:tcMar>
            <w:vAlign w:val="center"/>
          </w:tcPr>
          <w:p>
            <w:pPr>
              <w:spacing w:line="250" w:lineRule="auto"/>
              <w:jc w:val="center"/>
            </w:pPr>
          </w:p>
        </w:tc>
        <w:tc>
          <w:tcPr>
            <w:tcW w:type="dxa" w:w="1300"/>
            <w:shd w:fill="E8ECF0" w:color="auto" w:val="clear"/>
            <w:tcMar>
              <w:top w:type="dxa" w:w="70"/>
              <w:left w:type="dxa" w:w="100"/>
              <w:bottom w:type="dxa" w:w="70"/>
              <w:right w:type="dxa" w:w="100"/>
            </w:tcMar>
            <w:vAlign w:val="center"/>
          </w:tcPr>
          <w:p>
            <w:pPr>
              <w:spacing w:line="250" w:lineRule="auto"/>
              <w:jc w:val="center"/>
            </w:pPr>
          </w:p>
        </w:tc>
        <w:tc>
          <w:tcPr>
            <w:tcW w:type="dxa" w:w="1672"/>
            <w:shd w:fill="E8ECF0" w:color="auto" w:val="clear"/>
            <w:tcMar>
              <w:top w:type="dxa" w:w="70"/>
              <w:left w:type="dxa" w:w="100"/>
              <w:bottom w:type="dxa" w:w="70"/>
              <w:right w:type="dxa" w:w="100"/>
            </w:tcMar>
            <w:vAlign w:val="center"/>
          </w:tcPr>
          <w:p>
            <w:pPr>
              <w:spacing w:line="250" w:lineRule="auto"/>
              <w:jc w:val="center"/>
            </w:pP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FDF4E2" w:color="auto" w:val="clear"/>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※１　本内訳書には、運賃、運搬費、横持ち費、車両費、回送費その他名目の如何を問わず、運搬を対象とする費目を設けない。</w:t>
            </w:r>
          </w:p>
          <w:p>
            <w:pPr>
              <w:spacing w:line="250" w:lineRule="auto"/>
            </w:pPr>
            <w:r>
              <w:rPr>
                <w:rFonts w:ascii="ＭＳ 明朝" w:eastAsia="ＭＳ 明朝" w:hAnsi="ＭＳ 明朝"/>
                <w:b w:val="false"/>
                <w:bCs w:val="false"/>
                <w:sz w:val="18"/>
                <w:szCs w:val="18"/>
              </w:rPr>
              <w:t xml:space="preserve">※２　単価は立方メートル当たりの処分単価とし、車両の台数、運搬の回数又は運搬距離を算定の基礎としない。</w:t>
            </w:r>
          </w:p>
          <w:p>
            <w:pPr>
              <w:spacing w:line="250" w:lineRule="auto"/>
            </w:pPr>
            <w:r>
              <w:rPr>
                <w:rFonts w:ascii="ＭＳ 明朝" w:eastAsia="ＭＳ 明朝" w:hAnsi="ＭＳ 明朝"/>
                <w:b w:val="false"/>
                <w:bCs w:val="false"/>
                <w:sz w:val="18"/>
                <w:szCs w:val="18"/>
              </w:rPr>
              <w:t xml:space="preserve">※３　請求書及びその明細書は、本内訳書と同一の区分及び名目による。</w:t>
            </w:r>
          </w:p>
        </w:tc>
      </w:tr>
    </w:tbl>
    <w:p>
      <w:pPr>
        <w:pageBreakBefore/>
        <w:spacing w:after="200" w:before="0" w:line="300" w:lineRule="auto"/>
      </w:pPr>
      <w:r>
        <w:rPr>
          <w:rFonts w:ascii="ＭＳ ゴシック" w:eastAsia="ＭＳ ゴシック" w:hAnsi="ＭＳ ゴシック"/>
          <w:b/>
          <w:bCs/>
          <w:sz w:val="24"/>
          <w:szCs w:val="24"/>
        </w:rPr>
        <w:t xml:space="preserve">別紙２　処分地の表示及び確認事項</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72"/>
      </w:tblGrid>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所在地</w:t>
            </w:r>
          </w:p>
        </w:tc>
        <w:tc>
          <w:tcPr>
            <w:tcW w:type="dxa" w:w="6472"/>
            <w:tcMar>
              <w:top w:type="dxa" w:w="70"/>
              <w:left w:type="dxa" w:w="100"/>
              <w:bottom w:type="dxa" w:w="70"/>
              <w:right w:type="dxa" w:w="100"/>
            </w:tcMar>
            <w:vAlign w:val="top"/>
          </w:tcPr>
          <w:p>
            <w:pPr>
              <w:spacing w:line="250" w:lineRule="auto"/>
            </w:pP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地番</w:t>
            </w:r>
          </w:p>
        </w:tc>
        <w:tc>
          <w:tcPr>
            <w:tcW w:type="dxa" w:w="6472"/>
            <w:tcMar>
              <w:top w:type="dxa" w:w="70"/>
              <w:left w:type="dxa" w:w="100"/>
              <w:bottom w:type="dxa" w:w="70"/>
              <w:right w:type="dxa" w:w="100"/>
            </w:tcMar>
            <w:vAlign w:val="top"/>
          </w:tcPr>
          <w:p>
            <w:pPr>
              <w:spacing w:line="250" w:lineRule="auto"/>
            </w:pP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面積</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▲▲砂利店の権原</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所有　　□　賃借（期間　　年　　月　　日まで）　　□　その他（　　　　　　　　）</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砂利採取法第16条の認可</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有（認可番号　　　　　　　号　／　認可年月日　　　年　　月　　日）　　□　無</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認可採取計画への記載</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本件埋戻しは認可採取計画に記載されている　　□　記載されていない（同法第20条第１項の変更認可の要否を確認）</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盛土規制法の区域指定</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宅地造成等工事規制区域　　□　特定盛土等規制区域　　□　いずれでもない</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本件埋戻しの規模</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盛土の高さ　　　　ｍ　／　崖の高さ　　　　ｍ　／　面積　　　　　　㎡　／　土量　　　　　　㎥</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盛土規制法の許可</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要（工事主　□　○○建設　□　▲▲砂利店／許可年月日　　　年　　月　　日）</w:t>
            </w:r>
          </w:p>
          <w:p>
            <w:pPr>
              <w:spacing w:line="250" w:lineRule="auto"/>
            </w:pPr>
            <w:r>
              <w:rPr>
                <w:rFonts w:ascii="ＭＳ 明朝" w:eastAsia="ＭＳ 明朝" w:hAnsi="ＭＳ 明朝"/>
                <w:b w:val="false"/>
                <w:bCs w:val="false"/>
                <w:sz w:val="18"/>
                <w:szCs w:val="18"/>
              </w:rPr>
              <w:t xml:space="preserve">□　不要（理由　□　政令の規模に達しない　□　同法施行令第５条第１項第４号（砂利採取法の認可に係る工事））</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土砂条例の届出</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要（提出先　　　　　　　　　　／提出者　□　○○建設　□　▲▲砂利店）　　□　不要</w:t>
            </w:r>
          </w:p>
        </w:tc>
      </w:tr>
      <w:tr>
        <w:tc>
          <w:tcPr>
            <w:tcW w:type="dxa" w:w="2600"/>
            <w:shd w:fill="E8ECF0" w:color="auto" w:val="clear"/>
            <w:tcMar>
              <w:top w:type="dxa" w:w="70"/>
              <w:left w:type="dxa" w:w="100"/>
              <w:bottom w:type="dxa" w:w="70"/>
              <w:right w:type="dxa" w:w="100"/>
            </w:tcMar>
            <w:vAlign w:val="top"/>
          </w:tcPr>
          <w:p>
            <w:pPr>
              <w:spacing w:line="250" w:lineRule="auto"/>
            </w:pPr>
            <w:r>
              <w:rPr>
                <w:rFonts w:ascii="ＭＳ ゴシック" w:eastAsia="ＭＳ ゴシック" w:hAnsi="ＭＳ ゴシック"/>
                <w:b/>
                <w:bCs/>
                <w:sz w:val="18"/>
                <w:szCs w:val="18"/>
              </w:rPr>
              <w:t xml:space="preserve">残土の性状の確認</w:t>
            </w:r>
          </w:p>
        </w:tc>
        <w:tc>
          <w:tcPr>
            <w:tcW w:type="dxa" w:w="6472"/>
            <w:tcMar>
              <w:top w:type="dxa" w:w="70"/>
              <w:left w:type="dxa" w:w="100"/>
              <w:bottom w:type="dxa" w:w="70"/>
              <w:right w:type="dxa" w:w="100"/>
            </w:tcMar>
            <w:vAlign w:val="top"/>
          </w:tcPr>
          <w:p>
            <w:pPr>
              <w:spacing w:line="250" w:lineRule="auto"/>
            </w:pPr>
            <w:r>
              <w:rPr>
                <w:rFonts w:ascii="ＭＳ 明朝" w:eastAsia="ＭＳ 明朝" w:hAnsi="ＭＳ 明朝"/>
                <w:b w:val="false"/>
                <w:bCs w:val="false"/>
                <w:sz w:val="18"/>
                <w:szCs w:val="18"/>
              </w:rPr>
              <w:t xml:space="preserve">□　土砂のみ　　□　廃棄物の混入のおそれあり（この場合は本契約の対象外とする）</w:t>
            </w:r>
          </w:p>
        </w:tc>
      </w:tr>
    </w:tbl>
    <w:p>
      <w:pPr>
        <w:pageBreakBefore/>
        <w:spacing w:after="160" w:before="0" w:line="300" w:lineRule="auto"/>
      </w:pPr>
      <w:r>
        <w:rPr>
          <w:rFonts w:ascii="ＭＳ ゴシック" w:eastAsia="ＭＳ ゴシック" w:hAnsi="ＭＳ ゴシック"/>
          <w:b/>
          <w:bCs/>
          <w:sz w:val="24"/>
          <w:szCs w:val="24"/>
        </w:rPr>
        <w:t xml:space="preserve">〔社内用〕　この契約書の書き方と注意点</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FDF4E2" w:color="auto" w:val="clear"/>
            <w:tcMar>
              <w:top w:type="dxa" w:w="70"/>
              <w:left w:type="dxa" w:w="100"/>
              <w:bottom w:type="dxa" w:w="70"/>
              <w:right w:type="dxa" w:w="100"/>
            </w:tcMar>
            <w:vAlign w:val="top"/>
          </w:tcPr>
          <w:p>
            <w:pPr>
              <w:spacing w:line="250" w:lineRule="auto"/>
            </w:pPr>
            <w:r>
              <w:rPr>
                <w:rFonts w:ascii="ＭＳ 明朝" w:eastAsia="ＭＳ 明朝" w:hAnsi="ＭＳ 明朝"/>
                <w:b/>
                <w:bCs/>
                <w:sz w:val="19"/>
                <w:szCs w:val="19"/>
              </w:rPr>
              <w:t xml:space="preserve">この頁は社内用である。相手方に交付する契約書には綴らないこと。</w:t>
            </w:r>
          </w:p>
        </w:tc>
      </w:tr>
    </w:tbl>
    <w:p>
      <w:pPr>
        <w:spacing w:after="0" w:before="0" w:line="300" w:lineRule="auto"/>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70"/>
              <w:left w:type="dxa" w:w="100"/>
              <w:bottom w:type="dxa" w:w="70"/>
              <w:right w:type="dxa" w:w="100"/>
            </w:tcMar>
            <w:vAlign w:val="center"/>
          </w:tcPr>
          <w:p>
            <w:pPr>
              <w:spacing w:line="250" w:lineRule="auto"/>
            </w:pPr>
            <w:r>
              <w:rPr>
                <w:rFonts w:ascii="ＭＳ ゴシック" w:eastAsia="ＭＳ ゴシック" w:hAnsi="ＭＳ ゴシック"/>
                <w:b/>
                <w:bCs/>
                <w:color w:val="FFFFFF"/>
                <w:sz w:val="21"/>
                <w:szCs w:val="21"/>
              </w:rPr>
              <w:t xml:space="preserve">１　この書式が前提としている場面</w:t>
            </w:r>
          </w:p>
        </w:tc>
      </w:tr>
    </w:tbl>
    <w:p>
      <w:pPr>
        <w:spacing w:after="0" w:before="0" w:line="280" w:lineRule="auto"/>
        <w:ind w:left="180"/>
      </w:pPr>
      <w:r>
        <w:rPr>
          <w:rFonts w:ascii="ＭＳ 明朝" w:eastAsia="ＭＳ 明朝" w:hAnsi="ＭＳ 明朝"/>
          <w:b w:val="false"/>
          <w:bCs w:val="false"/>
          <w:sz w:val="19"/>
          <w:szCs w:val="19"/>
        </w:rPr>
        <w:t xml:space="preserve">白ナンバー（自家用）のダンプを自社で保有する砂利採取業者が、建設工事で出た残土について、積込みから運搬・受入れ・埋戻し・整地までを一括して請け負い、受入地は自社が確保した処分地（できれば砂利採取法第16条の認可を受けた自社の採取跡地）である、という場面を前提にしている。</w:t>
      </w:r>
    </w:p>
    <w:p>
      <w:pPr>
        <w:spacing w:after="0" w:before="0" w:line="280" w:lineRule="auto"/>
        <w:ind w:left="180"/>
      </w:pPr>
      <w:r>
        <w:rPr>
          <w:rFonts w:ascii="ＭＳ 明朝" w:eastAsia="ＭＳ 明朝" w:hAnsi="ＭＳ 明朝"/>
          <w:b w:val="false"/>
          <w:bCs w:val="false"/>
          <w:sz w:val="19"/>
          <w:szCs w:val="19"/>
        </w:rPr>
        <w:t xml:space="preserve">▲▲砂利店が一般貨物自動車運送事業の許可を持ち、緑ナンバーで運べる場合には、この書式を使う必要はない。素直に運送として請け負えばよい。この書式は、許可を持たない白ナンバーの事業者が、運送業ではなく処分業として引き受けるための組立てである。</w:t>
      </w:r>
    </w:p>
    <w:p>
      <w:pPr>
        <w:spacing w:after="0" w:before="0" w:line="280" w:lineRule="auto"/>
        <w:ind w:left="180"/>
      </w:pPr>
      <w:r>
        <w:rPr>
          <w:rFonts w:ascii="ＭＳ 明朝" w:eastAsia="ＭＳ 明朝" w:hAnsi="ＭＳ 明朝"/>
          <w:b w:val="false"/>
          <w:bCs w:val="false"/>
          <w:sz w:val="19"/>
          <w:szCs w:val="19"/>
        </w:rPr>
        <w:t xml:space="preserve">積込みだけ、運搬だけを請け負う場合には使えない。国交省「建設事業に係る物品等の運送に関するQ&amp;A」No.20は、積込みのみを行う場合は付帯業務とは言えず許可が必要としている。</w:t>
      </w:r>
    </w:p>
    <w:p>
      <w:pPr>
        <w:spacing w:after="140" w:before="0" w:line="300" w:lineRule="auto"/>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70"/>
              <w:left w:type="dxa" w:w="100"/>
              <w:bottom w:type="dxa" w:w="70"/>
              <w:right w:type="dxa" w:w="100"/>
            </w:tcMar>
            <w:vAlign w:val="center"/>
          </w:tcPr>
          <w:p>
            <w:pPr>
              <w:spacing w:line="250" w:lineRule="auto"/>
            </w:pPr>
            <w:r>
              <w:rPr>
                <w:rFonts w:ascii="ＭＳ ゴシック" w:eastAsia="ＭＳ ゴシック" w:hAnsi="ＭＳ ゴシック"/>
                <w:b/>
                <w:bCs/>
                <w:color w:val="FFFFFF"/>
                <w:sz w:val="21"/>
                <w:szCs w:val="21"/>
              </w:rPr>
              <w:t xml:space="preserve">２　なぜこの書き方にしているか</w:t>
            </w:r>
          </w:p>
        </w:tc>
      </w:tr>
    </w:tbl>
    <w:p>
      <w:pPr>
        <w:spacing w:after="0" w:before="0" w:line="280" w:lineRule="auto"/>
        <w:ind w:left="180"/>
      </w:pPr>
      <w:r>
        <w:rPr>
          <w:rFonts w:ascii="ＭＳ 明朝" w:eastAsia="ＭＳ 明朝" w:hAnsi="ＭＳ 明朝"/>
          <w:b w:val="false"/>
          <w:bCs w:val="false"/>
          <w:sz w:val="19"/>
          <w:szCs w:val="19"/>
        </w:rPr>
        <w:t xml:space="preserve">根拠は、令和8年2月10日付け事務連絡（国土交通省物流・自動車局貨物流通事業課長「自家用ダンプカーの貨物自動車運送事業法における取扱いについて」）である。同事務連絡は、ダンプカーについて①他人の需要に応じ、②有償で、③貨物の運送を事業として行う場合には許可が必要であるとした上で、1.(1)又は(2)のいずれかに該当し、かつ2.の要件を具備した場合には許可が不要となるとしている。</w:t>
      </w:r>
    </w:p>
    <w:p>
      <w:pPr>
        <w:spacing w:after="0" w:before="0" w:line="280" w:lineRule="auto"/>
        <w:ind w:left="180"/>
      </w:pPr>
      <w:r>
        <w:rPr>
          <w:rFonts w:ascii="ＭＳ 明朝" w:eastAsia="ＭＳ 明朝" w:hAnsi="ＭＳ 明朝"/>
          <w:b w:val="false"/>
          <w:bCs w:val="false"/>
          <w:sz w:val="19"/>
          <w:szCs w:val="19"/>
        </w:rPr>
        <w:t xml:space="preserve">1.(1)は「建設関連会社等が自ら所有する貨物を自ら運送する場合」で、①及び②に該当しないとされる。1.(2)は「生業と密接不可分であり、その業務に付帯するものとして運送を行う場合」で、他者が所有する貨物であっても次のⅰ〜ⅲのいずれにも該当すれば②及び③に該当しないとされる。</w:t>
      </w:r>
    </w:p>
    <w:p>
      <w:pPr>
        <w:spacing w:after="0" w:before="0" w:line="280" w:lineRule="auto"/>
        <w:ind w:left="180"/>
      </w:pPr>
      <w:r>
        <w:rPr>
          <w:rFonts w:ascii="ＭＳ 明朝" w:eastAsia="ＭＳ 明朝" w:hAnsi="ＭＳ 明朝"/>
          <w:b w:val="false"/>
          <w:bCs w:val="false"/>
          <w:sz w:val="19"/>
          <w:szCs w:val="19"/>
        </w:rPr>
        <w:t xml:space="preserve">　ⅰ　建設関連会社等の生業と密接不可分であり、その業務に付帯して行われる運送であること</w:t>
      </w:r>
    </w:p>
    <w:p>
      <w:pPr>
        <w:spacing w:after="0" w:before="0" w:line="280" w:lineRule="auto"/>
        <w:ind w:left="180"/>
      </w:pPr>
      <w:r>
        <w:rPr>
          <w:rFonts w:ascii="ＭＳ 明朝" w:eastAsia="ＭＳ 明朝" w:hAnsi="ＭＳ 明朝"/>
          <w:b w:val="false"/>
          <w:bCs w:val="false"/>
          <w:sz w:val="19"/>
          <w:szCs w:val="19"/>
        </w:rPr>
        <w:t xml:space="preserve">　ⅱ　当該生業を営む建設関連会社等が自ら運送行為を行うこと（同一の者が当該生業と当該運送行為とを一貫して行うこと）</w:t>
      </w:r>
    </w:p>
    <w:p>
      <w:pPr>
        <w:spacing w:after="0" w:before="0" w:line="280" w:lineRule="auto"/>
        <w:ind w:left="180"/>
      </w:pPr>
      <w:r>
        <w:rPr>
          <w:rFonts w:ascii="ＭＳ 明朝" w:eastAsia="ＭＳ 明朝" w:hAnsi="ＭＳ 明朝"/>
          <w:b w:val="false"/>
          <w:bCs w:val="false"/>
          <w:sz w:val="19"/>
          <w:szCs w:val="19"/>
        </w:rPr>
        <w:t xml:space="preserve">　ⅲ　名目の如何を問わず、運送行為の対価としての有償性がないこと</w:t>
      </w:r>
    </w:p>
    <w:p>
      <w:pPr>
        <w:spacing w:after="0" w:before="0" w:line="280" w:lineRule="auto"/>
        <w:ind w:left="180"/>
      </w:pPr>
      <w:r>
        <w:rPr>
          <w:rFonts w:ascii="ＭＳ 明朝" w:eastAsia="ＭＳ 明朝" w:hAnsi="ＭＳ 明朝"/>
          <w:b w:val="false"/>
          <w:bCs w:val="false"/>
          <w:sz w:val="19"/>
          <w:szCs w:val="19"/>
        </w:rPr>
        <w:t xml:space="preserve">2.は、自ら運送を行っていると認められるためには、当該会社等と雇用関係にある従業員たる運転者（期間雇用又は日雇い雇用等の場合を含む。）に運送行為を行わせることが必要である、とするものである。雇用関係の有無は、契約等の形態のみならず使用従属性等の実態も踏まえて判断され、労働契約の締結、労働条件通知書の交付、報酬が給与として支払われているかが主な判断基準とされている。</w:t>
      </w:r>
    </w:p>
    <w:p>
      <w:pPr>
        <w:spacing w:after="0" w:before="0" w:line="280" w:lineRule="auto"/>
        <w:ind w:left="180"/>
      </w:pPr>
      <w:r>
        <w:rPr>
          <w:rFonts w:ascii="ＭＳ 明朝" w:eastAsia="ＭＳ 明朝" w:hAnsi="ＭＳ 明朝"/>
          <w:b w:val="false"/>
          <w:bCs w:val="false"/>
          <w:sz w:val="19"/>
          <w:szCs w:val="19"/>
        </w:rPr>
        <w:t xml:space="preserve">建設事業Q&amp;A No.21は、残土の処分を行う場合について「処分の内容によりますが」と留保を付けた上で、生業と密接不可分であり当該業務に付帯すると認められ、運送の対価としての有償性がない場合には許可は不要になると考えられる、としている。</w:t>
      </w:r>
    </w:p>
    <w:p>
      <w:pPr>
        <w:spacing w:after="0" w:before="0" w:line="280" w:lineRule="auto"/>
        <w:ind w:left="180"/>
      </w:pPr>
      <w:r>
        <w:rPr>
          <w:rFonts w:ascii="ＭＳ 明朝" w:eastAsia="ＭＳ 明朝" w:hAnsi="ＭＳ 明朝"/>
          <w:b w:val="false"/>
          <w:bCs w:val="false"/>
          <w:sz w:val="19"/>
          <w:szCs w:val="19"/>
        </w:rPr>
        <w:t xml:space="preserve">この契約書は、上の1.(2)と2.に当てはめるために条文の書き方を決めている。ⅰには第１条（目的を処分に置く）・第３条（処分地を自ら確保）・第９条（受入れ後の管理責任）が、ⅱには第２条（積込みから整地までを一体の工程として自ら行う）・第２条第２項（再委託しない）が、ⅲには第５条第２項から第４項（運搬を対価の対象にしない）・第７条第３項（請求書も同じ名目）が、2.には第10条（雇用関係・労働条件通知書・給与）が対応する。</w:t>
      </w:r>
    </w:p>
    <w:p>
      <w:pPr>
        <w:spacing w:after="0" w:before="0" w:line="280" w:lineRule="auto"/>
        <w:ind w:left="180"/>
      </w:pPr>
      <w:r>
        <w:rPr>
          <w:rFonts w:ascii="ＭＳ 明朝" w:eastAsia="ＭＳ 明朝" w:hAnsi="ＭＳ 明朝"/>
          <w:b w:val="false"/>
          <w:bCs w:val="false"/>
          <w:sz w:val="19"/>
          <w:szCs w:val="19"/>
        </w:rPr>
        <w:t xml:space="preserve">なお、業務範囲（第２条）にも別紙１の内容欄にも「運搬」という語をそのまま書いている。隠して「搬送」などに言い換えない。上のQ&amp;A No.21は「残土を運搬し処分する場合」と書いており、運搬という工程が入ること自体は許可不要の前提として織り込まれている。通達ⅲが禁じているのは運搬を対価の対象にすることであって、運搬という言葉を使うことではない。語を言い換えると、かえって隠したという印象を与える。</w:t>
      </w:r>
    </w:p>
    <w:p>
      <w:pPr>
        <w:spacing w:after="0" w:before="0" w:line="280" w:lineRule="auto"/>
        <w:ind w:left="180"/>
      </w:pPr>
      <w:r>
        <w:rPr>
          <w:rFonts w:ascii="ＭＳ 明朝" w:eastAsia="ＭＳ 明朝" w:hAnsi="ＭＳ 明朝"/>
          <w:b w:val="false"/>
          <w:bCs w:val="false"/>
          <w:sz w:val="19"/>
          <w:szCs w:val="19"/>
        </w:rPr>
        <w:t xml:space="preserve">第８条で積込み時に所有権を移すのは、1.(2)ではなく1.(1)で説明できる余地を作るためである。所有権が移転した後に▲▲砂利店が運ぶのは自社が所有する貨物であり、1.(1)「自ら所有する貨物を自ら運送する場合」に当たりうる。貨物自動車運送事業法第２条第２項も「一般貨物自動車運送事業」を「他人の需要に応じ、有償で、自動車……を使用して貨物を運送する事業」と定義している。ただしこの構成が認められるかは確認できていないので、照会A-11として運輸局に聞くことにしている。本筋は1.(2)のⅰ〜ⅲと2.である。</w:t>
      </w:r>
    </w:p>
    <w:p>
      <w:pPr>
        <w:spacing w:after="140" w:before="0" w:line="300" w:lineRule="auto"/>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70"/>
              <w:left w:type="dxa" w:w="100"/>
              <w:bottom w:type="dxa" w:w="70"/>
              <w:right w:type="dxa" w:w="100"/>
            </w:tcMar>
            <w:vAlign w:val="center"/>
          </w:tcPr>
          <w:p>
            <w:pPr>
              <w:spacing w:line="250" w:lineRule="auto"/>
            </w:pPr>
            <w:r>
              <w:rPr>
                <w:rFonts w:ascii="ＭＳ ゴシック" w:eastAsia="ＭＳ ゴシック" w:hAnsi="ＭＳ ゴシック"/>
                <w:b/>
                <w:bCs/>
                <w:color w:val="FFFFFF"/>
                <w:sz w:val="21"/>
                <w:szCs w:val="21"/>
              </w:rPr>
              <w:t xml:space="preserve">３　絶対にやってはいけない書き方</w:t>
            </w:r>
          </w:p>
        </w:tc>
      </w:tr>
    </w:tbl>
    <w:p>
      <w:pPr>
        <w:spacing w:after="0" w:before="0" w:line="280" w:lineRule="auto"/>
        <w:ind w:left="180"/>
      </w:pPr>
      <w:r>
        <w:rPr>
          <w:rFonts w:ascii="ＭＳ 明朝" w:eastAsia="ＭＳ 明朝" w:hAnsi="ＭＳ 明朝"/>
          <w:b w:val="false"/>
          <w:bCs w:val="false"/>
          <w:sz w:val="19"/>
          <w:szCs w:val="19"/>
        </w:rPr>
        <w:t xml:space="preserve">・内訳書や請求書に「運搬費」「運賃」「横持ち費」「車両費」「回送費」の行を立てる。通達ⅲは「名目の如何を問わず」であり、名称を変えただけでは逃げられない。</w:t>
      </w:r>
    </w:p>
    <w:p>
      <w:pPr>
        <w:spacing w:after="0" w:before="0" w:line="280" w:lineRule="auto"/>
        <w:ind w:left="180"/>
      </w:pPr>
      <w:r>
        <w:rPr>
          <w:rFonts w:ascii="ＭＳ 明朝" w:eastAsia="ＭＳ 明朝" w:hAnsi="ＭＳ 明朝"/>
          <w:b w:val="false"/>
          <w:bCs w:val="false"/>
          <w:sz w:val="19"/>
          <w:szCs w:val="19"/>
        </w:rPr>
        <w:t xml:space="preserve">・単価を台数×距離、t×kmで積算する。立方メートル単価であっても、運搬距離に応じて単価を変える表を作れば同じ結果になる。</w:t>
      </w:r>
    </w:p>
    <w:p>
      <w:pPr>
        <w:spacing w:after="0" w:before="0" w:line="280" w:lineRule="auto"/>
        <w:ind w:left="180"/>
      </w:pPr>
      <w:r>
        <w:rPr>
          <w:rFonts w:ascii="ＭＳ 明朝" w:eastAsia="ＭＳ 明朝" w:hAnsi="ＭＳ 明朝"/>
          <w:b w:val="false"/>
          <w:bCs w:val="false"/>
          <w:sz w:val="19"/>
          <w:szCs w:val="19"/>
        </w:rPr>
        <w:t xml:space="preserve">・処分費は別途として運搬だけを契約する。Q&amp;A No.20の類型になる。</w:t>
      </w:r>
    </w:p>
    <w:p>
      <w:pPr>
        <w:spacing w:after="0" w:before="0" w:line="280" w:lineRule="auto"/>
        <w:ind w:left="180"/>
      </w:pPr>
      <w:r>
        <w:rPr>
          <w:rFonts w:ascii="ＭＳ 明朝" w:eastAsia="ＭＳ 明朝" w:hAnsi="ＭＳ 明朝"/>
          <w:b w:val="false"/>
          <w:bCs w:val="false"/>
          <w:sz w:val="19"/>
          <w:szCs w:val="19"/>
        </w:rPr>
        <w:t xml:space="preserve">・発注者が指定した第三者の土地へ運ぶだけの形にする。処分地を自ら確保していなければ、処分の主体とは言えない。</w:t>
      </w:r>
    </w:p>
    <w:p>
      <w:pPr>
        <w:spacing w:after="0" w:before="0" w:line="280" w:lineRule="auto"/>
        <w:ind w:left="180"/>
      </w:pPr>
      <w:r>
        <w:rPr>
          <w:rFonts w:ascii="ＭＳ 明朝" w:eastAsia="ＭＳ 明朝" w:hAnsi="ＭＳ 明朝"/>
          <w:b w:val="false"/>
          <w:bCs w:val="false"/>
          <w:sz w:val="19"/>
          <w:szCs w:val="19"/>
        </w:rPr>
        <w:t xml:space="preserve">・見積書・請求書・社内の原価表だけ別の書き方にする。契約書と揃っていないと一発で崩れる。</w:t>
      </w:r>
    </w:p>
    <w:p>
      <w:pPr>
        <w:spacing w:after="0" w:before="0" w:line="280" w:lineRule="auto"/>
        <w:ind w:left="180"/>
      </w:pPr>
      <w:r>
        <w:rPr>
          <w:rFonts w:ascii="ＭＳ 明朝" w:eastAsia="ＭＳ 明朝" w:hAnsi="ＭＳ 明朝"/>
          <w:b w:val="false"/>
          <w:bCs w:val="false"/>
          <w:sz w:val="19"/>
          <w:szCs w:val="19"/>
        </w:rPr>
        <w:t xml:space="preserve">・運転者を日雇いにすること自体は、ここでは問題にならない。2月10日事務連絡2.が「期間雇用又は日雇い雇用等の場合を含む」としているためである。緑ナンバーの事業用自動車に日雇いの運転者を選任運転者として乗せられないのは貨物自動車運送事業輸送安全規則３条２項の話（▲11）であり、同規則は許可業者に適用されるものだから、許可を持たない▲▲砂利店には適用がない。混同しないこと。ただし雇用関係の実態（労働契約・労働条件通知書・給与払い）は2.の要件なので、ここは落とせない。</w:t>
      </w:r>
    </w:p>
    <w:p>
      <w:pPr>
        <w:spacing w:after="140" w:before="0" w:line="300" w:lineRule="auto"/>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70"/>
              <w:left w:type="dxa" w:w="100"/>
              <w:bottom w:type="dxa" w:w="70"/>
              <w:right w:type="dxa" w:w="100"/>
            </w:tcMar>
            <w:vAlign w:val="center"/>
          </w:tcPr>
          <w:p>
            <w:pPr>
              <w:spacing w:line="250" w:lineRule="auto"/>
            </w:pPr>
            <w:r>
              <w:rPr>
                <w:rFonts w:ascii="ＭＳ ゴシック" w:eastAsia="ＭＳ ゴシック" w:hAnsi="ＭＳ ゴシック"/>
                <w:b/>
                <w:bCs/>
                <w:color w:val="FFFFFF"/>
                <w:sz w:val="21"/>
                <w:szCs w:val="21"/>
              </w:rPr>
              <w:t xml:space="preserve">４　契約書を直しても外れない規制</w:t>
            </w:r>
          </w:p>
        </w:tc>
      </w:tr>
    </w:tbl>
    <w:p>
      <w:pPr>
        <w:spacing w:after="0" w:before="0" w:line="280" w:lineRule="auto"/>
        <w:ind w:left="180"/>
      </w:pPr>
      <w:r>
        <w:rPr>
          <w:rFonts w:ascii="ＭＳ 明朝" w:eastAsia="ＭＳ 明朝" w:hAnsi="ＭＳ 明朝"/>
          <w:b w:val="false"/>
          <w:bCs w:val="false"/>
          <w:sz w:val="19"/>
          <w:szCs w:val="19"/>
        </w:rPr>
        <w:t xml:space="preserve">・ダンプ規制法：残土は「土砂等」に当たるので、表示番号（ゼッケン）の表示と荷台の構造（自重計）の義務は残る。請負契約にしても外れない。</w:t>
      </w:r>
    </w:p>
    <w:p>
      <w:pPr>
        <w:spacing w:after="0" w:before="0" w:line="280" w:lineRule="auto"/>
        <w:ind w:left="180"/>
      </w:pPr>
      <w:r>
        <w:rPr>
          <w:rFonts w:ascii="ＭＳ 明朝" w:eastAsia="ＭＳ 明朝" w:hAnsi="ＭＳ 明朝"/>
          <w:b w:val="false"/>
          <w:bCs w:val="false"/>
          <w:sz w:val="19"/>
          <w:szCs w:val="19"/>
        </w:rPr>
        <w:t xml:space="preserve">・盛土規制法：区域指定のある場所で、政令の規模を超える盛土又は土石の堆積を行うには、着手前に工事主が知事の許可を受ける（法第12条、第30条）。規模は、宅地造成等工事規制区域では盛土で高さ１ｍを超える崖、盛土の高さ２ｍ超、面積500㎡超、土石の堆積は高さ２ｍ超又は面積500㎡超（施行令第３条・第４条）。特定盛土等規制区域では盛土で高さ２ｍを超える崖、盛土の高さ５ｍ超、面積3,000㎡超、土石の堆積は高さ５ｍ超かつ面積1,500㎡超又は面積3,000㎡超（施行令第28条、第23条、第25条第２項）。</w:t>
      </w:r>
    </w:p>
    <w:p>
      <w:pPr>
        <w:spacing w:after="0" w:before="0" w:line="280" w:lineRule="auto"/>
        <w:ind w:left="180"/>
      </w:pPr>
      <w:r>
        <w:rPr>
          <w:rFonts w:ascii="ＭＳ 明朝" w:eastAsia="ＭＳ 明朝" w:hAnsi="ＭＳ 明朝"/>
          <w:b w:val="false"/>
          <w:bCs w:val="false"/>
          <w:sz w:val="19"/>
          <w:szCs w:val="19"/>
        </w:rPr>
        <w:t xml:space="preserve">・ただし、砂利採取法第16条又は第20条第１項の認可を受けた者が行う当該認可に係る工事は、盛土規制法の許可を要しない（施行令第５条第１項第４号。第30条については施行令第29条第１項で準用）。自社の認可採取計画に埋戻しが書き込まれていれば許可は不要になる。書かれていなければ砂利採取法第20条第１項の変更認可が先に必要であり、この除外も効かない。順序を間違えないこと。</w:t>
      </w:r>
    </w:p>
    <w:p>
      <w:pPr>
        <w:spacing w:after="0" w:before="0" w:line="280" w:lineRule="auto"/>
        <w:ind w:left="180"/>
      </w:pPr>
      <w:r>
        <w:rPr>
          <w:rFonts w:ascii="ＭＳ 明朝" w:eastAsia="ＭＳ 明朝" w:hAnsi="ＭＳ 明朝"/>
          <w:b w:val="false"/>
          <w:bCs w:val="false"/>
          <w:sz w:val="19"/>
          <w:szCs w:val="19"/>
        </w:rPr>
        <w:t xml:space="preserve">・廃掃法：純粋な土砂は廃棄物ではないが、コンクリート塊などが混ざればがれき類として産業廃棄物になり、収集運搬業の許可とマニフェストの世界に移る。第４条はこのための条項である。岩手県の照会先は019-629-5366（廃棄物対策担当）。</w:t>
      </w:r>
    </w:p>
    <w:p>
      <w:pPr>
        <w:spacing w:after="0" w:before="0" w:line="280" w:lineRule="auto"/>
        <w:ind w:left="180"/>
      </w:pPr>
      <w:r>
        <w:rPr>
          <w:rFonts w:ascii="ＭＳ 明朝" w:eastAsia="ＭＳ 明朝" w:hAnsi="ＭＳ 明朝"/>
          <w:b w:val="false"/>
          <w:bCs w:val="false"/>
          <w:sz w:val="19"/>
          <w:szCs w:val="19"/>
        </w:rPr>
        <w:t xml:space="preserve">・県・市の土砂条例：処分地の所在地ごとに届出の要否が違う。別紙２で確認する。</w:t>
      </w:r>
    </w:p>
    <w:p>
      <w:pPr>
        <w:spacing w:after="140" w:before="0" w:line="300" w:lineRule="auto"/>
      </w:pP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16395C" w:color="auto" w:val="clear"/>
            <w:tcMar>
              <w:top w:type="dxa" w:w="70"/>
              <w:left w:type="dxa" w:w="100"/>
              <w:bottom w:type="dxa" w:w="70"/>
              <w:right w:type="dxa" w:w="100"/>
            </w:tcMar>
            <w:vAlign w:val="center"/>
          </w:tcPr>
          <w:p>
            <w:pPr>
              <w:spacing w:line="250" w:lineRule="auto"/>
            </w:pPr>
            <w:r>
              <w:rPr>
                <w:rFonts w:ascii="ＭＳ ゴシック" w:eastAsia="ＭＳ ゴシック" w:hAnsi="ＭＳ ゴシック"/>
                <w:b/>
                <w:bCs/>
                <w:color w:val="FFFFFF"/>
                <w:sz w:val="21"/>
                <w:szCs w:val="21"/>
              </w:rPr>
              <w:t xml:space="preserve">５　この書式のままでは確定しない点（要照会）</w:t>
            </w:r>
          </w:p>
        </w:tc>
      </w:tr>
    </w:tbl>
    <w:p>
      <w:pPr>
        <w:spacing w:after="0" w:before="0" w:line="280" w:lineRule="auto"/>
        <w:ind w:left="180"/>
      </w:pPr>
      <w:r>
        <w:rPr>
          <w:rFonts w:ascii="ＭＳ 明朝" w:eastAsia="ＭＳ 明朝" w:hAnsi="ＭＳ 明朝"/>
          <w:b w:val="false"/>
          <w:bCs w:val="false"/>
          <w:sz w:val="19"/>
          <w:szCs w:val="19"/>
        </w:rPr>
        <w:t xml:space="preserve">「生業と密接不可分」と言えるかは、建設業者ではなく砂利採取業者が残土処分を行うという点で、なお詰め切れていない。当社資料では▲６、運輸局への照会ではA-4及びA-8からA-11として要照会に分類している。</w:t>
      </w:r>
    </w:p>
    <w:p>
      <w:pPr>
        <w:spacing w:after="0" w:before="0" w:line="280" w:lineRule="auto"/>
        <w:ind w:left="180"/>
      </w:pPr>
      <w:r>
        <w:rPr>
          <w:rFonts w:ascii="ＭＳ 明朝" w:eastAsia="ＭＳ 明朝" w:hAnsi="ＭＳ 明朝"/>
          <w:b w:val="false"/>
          <w:bCs w:val="false"/>
          <w:sz w:val="19"/>
          <w:szCs w:val="19"/>
        </w:rPr>
        <w:t xml:space="preserve">契約書の書き方では解決しない点を、照会事例集の次の四件にしてある。照会書ではこの契約書の▲▲砂利店をF砂利採取として書いている。</w:t>
      </w:r>
    </w:p>
    <w:p>
      <w:pPr>
        <w:spacing w:after="0" w:before="0" w:line="280" w:lineRule="auto"/>
        <w:ind w:left="180"/>
      </w:pPr>
      <w:r>
        <w:rPr>
          <w:rFonts w:ascii="ＭＳ 明朝" w:eastAsia="ＭＳ 明朝" w:hAnsi="ＭＳ 明朝"/>
          <w:b w:val="false"/>
          <w:bCs w:val="false"/>
          <w:sz w:val="19"/>
          <w:szCs w:val="19"/>
        </w:rPr>
        <w:t xml:space="preserve">　A-8　砂利採取業者が自社の認可採取跡地の埋戻しに使う場合に「生業と密接不可分」と言えるか。認可採取計画への記載が要件となるか。</w:t>
      </w:r>
    </w:p>
    <w:p>
      <w:pPr>
        <w:spacing w:after="0" w:before="0" w:line="280" w:lineRule="auto"/>
        <w:ind w:left="180"/>
      </w:pPr>
      <w:r>
        <w:rPr>
          <w:rFonts w:ascii="ＭＳ 明朝" w:eastAsia="ＭＳ 明朝" w:hAnsi="ＭＳ 明朝"/>
          <w:b w:val="false"/>
          <w:bCs w:val="false"/>
          <w:sz w:val="19"/>
          <w:szCs w:val="19"/>
        </w:rPr>
        <w:t xml:space="preserve">　A-9　受入地が自社の砂利採取場ではなく賃借地である場合も同じ結論になるか。</w:t>
      </w:r>
    </w:p>
    <w:p>
      <w:pPr>
        <w:spacing w:after="0" w:before="0" w:line="280" w:lineRule="auto"/>
        <w:ind w:left="180"/>
      </w:pPr>
      <w:r>
        <w:rPr>
          <w:rFonts w:ascii="ＭＳ 明朝" w:eastAsia="ＭＳ 明朝" w:hAnsi="ＭＳ 明朝"/>
          <w:b w:val="false"/>
          <w:bCs w:val="false"/>
          <w:sz w:val="19"/>
          <w:szCs w:val="19"/>
        </w:rPr>
        <w:t xml:space="preserve">　A-10　立方メートル単価であっても、運搬距離に応じて単価が変わる場合は1.(2)ⅲの有償性に当たるか。</w:t>
      </w:r>
    </w:p>
    <w:p>
      <w:pPr>
        <w:spacing w:after="0" w:before="0" w:line="280" w:lineRule="auto"/>
        <w:ind w:left="180"/>
      </w:pPr>
      <w:r>
        <w:rPr>
          <w:rFonts w:ascii="ＭＳ 明朝" w:eastAsia="ＭＳ 明朝" w:hAnsi="ＭＳ 明朝"/>
          <w:b w:val="false"/>
          <w:bCs w:val="false"/>
          <w:sz w:val="19"/>
          <w:szCs w:val="19"/>
        </w:rPr>
        <w:t xml:space="preserve">　A-11　積込み時に所有権を移す定めにより1.(1)で判断されるか、それとも1.(2)で判断されるか。契約書案を持参して確認してもらえるか。</w:t>
      </w:r>
    </w:p>
    <w:p>
      <w:pPr>
        <w:spacing w:after="0" w:before="0" w:line="280" w:lineRule="auto"/>
        <w:ind w:left="180"/>
      </w:pPr>
      <w:r>
        <w:rPr>
          <w:rFonts w:ascii="ＭＳ 明朝" w:eastAsia="ＭＳ 明朝" w:hAnsi="ＭＳ 明朝"/>
          <w:b w:val="false"/>
          <w:bCs w:val="false"/>
          <w:sz w:val="19"/>
          <w:szCs w:val="19"/>
        </w:rPr>
        <w:t xml:space="preserve">照会の結果が出るまでは、この書式を使った運用は自社採取跡地への埋戻しに限るのが安全である。</w:t>
      </w:r>
    </w:p>
    <w:p>
      <w:pPr>
        <w:spacing w:after="140" w:before="0" w:line="300" w:lineRule="auto"/>
      </w:pPr>
    </w:p>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2026-10-16T04:40:26.985Z</dcterms:created>
  <dcterms:modified xsi:type="dcterms:W3CDTF">2026-10-16T04:40:26.996Z</dcterms:modified>
</cp:coreProperties>
</file>

<file path=docProps/custom.xml><?xml version="1.0" encoding="utf-8"?>
<Properties xmlns="http://schemas.openxmlformats.org/officeDocument/2006/custom-properties" xmlns:vt="http://schemas.openxmlformats.org/officeDocument/2006/docPropsVTypes"/>
</file>