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lineRule="auto"/>
        <w:jc w:val="center"/>
      </w:pPr>
      <w:r>
        <w:rPr>
          <w:rFonts w:ascii="ＭＳ ゴシック" w:eastAsia="ＭＳ ゴシック" w:hAnsi="ＭＳ ゴシック"/>
          <w:b/>
          <w:bCs/>
          <w:sz w:val="30"/>
          <w:szCs w:val="30"/>
        </w:rPr>
        <w:t xml:space="preserve">副 業 ・ 兼 業 に 関 す る 届 出 書</w:t>
      </w:r>
    </w:p>
    <w:p>
      <w:pPr>
        <w:spacing w:after="0" w:before="0" w:line="300" w:lineRule="auto"/>
      </w:pPr>
      <w:r>
        <w:rPr>
          <w:rFonts w:ascii="ＭＳ 明朝" w:eastAsia="ＭＳ 明朝" w:hAnsi="ＭＳ 明朝"/>
          <w:sz w:val="21"/>
          <w:szCs w:val="21"/>
        </w:rPr>
        <w:t xml:space="preserve"/>
      </w:r>
    </w:p>
    <w:p>
      <w:pPr>
        <w:spacing w:after="0" w:before="0" w:line="300" w:lineRule="auto"/>
      </w:pPr>
      <w:r>
        <w:rPr>
          <w:rFonts w:ascii="ＭＳ 明朝" w:eastAsia="ＭＳ 明朝" w:hAnsi="ＭＳ 明朝"/>
          <w:sz w:val="20"/>
          <w:szCs w:val="20"/>
        </w:rPr>
        <w:t xml:space="preserve">〇〇〇〇〇〇〇〇　代表取締役　殿</w:t>
      </w:r>
    </w:p>
    <w:p>
      <w:pPr>
        <w:spacing w:after="0" w:before="0" w:line="300" w:lineRule="auto"/>
      </w:pPr>
      <w:r>
        <w:rPr>
          <w:rFonts w:ascii="ＭＳ 明朝" w:eastAsia="ＭＳ 明朝" w:hAnsi="ＭＳ 明朝"/>
          <w:sz w:val="16"/>
          <w:szCs w:val="16"/>
        </w:rPr>
        <w:t xml:space="preserve">※ 有限会社石名坂商事 又は 株式会社石名坂 のうち、届出先の社名をご記入ください</w:t>
      </w:r>
    </w:p>
    <w:p>
      <w:pPr>
        <w:spacing w:after="0" w:before="0" w:line="300" w:lineRule="auto"/>
      </w:pPr>
      <w:r>
        <w:rPr>
          <w:rFonts w:ascii="ＭＳ 明朝" w:eastAsia="ＭＳ 明朝" w:hAnsi="ＭＳ 明朝"/>
          <w:sz w:val="21"/>
          <w:szCs w:val="21"/>
        </w:rPr>
        <w:t xml:space="preserve"/>
      </w:r>
    </w:p>
    <w:p>
      <w:pPr>
        <w:spacing w:after="0" w:before="0" w:line="300" w:lineRule="auto"/>
        <w:ind w:firstLine="0"/>
      </w:pPr>
      <w:r>
        <w:rPr>
          <w:rFonts w:ascii="ＭＳ 明朝" w:eastAsia="ＭＳ 明朝" w:hAnsi="ＭＳ 明朝"/>
          <w:sz w:val="21"/>
          <w:szCs w:val="21"/>
        </w:rPr>
        <w:t xml:space="preserve">　下記のとおり、他の使用者の事業場における就業について届け出ます。</w:t>
      </w:r>
    </w:p>
    <w:p>
      <w:pPr>
        <w:spacing w:after="0" w:before="0" w:line="300" w:lineRule="auto"/>
      </w:pPr>
      <w:r>
        <w:rPr>
          <w:rFonts w:ascii="ＭＳ 明朝" w:eastAsia="ＭＳ 明朝" w:hAnsi="ＭＳ 明朝"/>
          <w:sz w:val="21"/>
          <w:szCs w:val="21"/>
        </w:rPr>
        <w:t xml:space="preserve"/>
      </w:r>
    </w:p>
    <w:p>
      <w:pPr>
        <w:spacing w:after="100" w:before="0" w:line="300" w:lineRule="auto"/>
      </w:pPr>
      <w:r>
        <w:rPr>
          <w:rFonts w:ascii="ＭＳ ゴシック" w:eastAsia="ＭＳ ゴシック" w:hAnsi="ＭＳ ゴシック"/>
          <w:b/>
          <w:bCs/>
          <w:sz w:val="21"/>
          <w:szCs w:val="21"/>
        </w:rPr>
        <w:t xml:space="preserve">１　他の使用者の事業場</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c>
          <w:tcPr>
            <w:tcW w:type="dxa" w:w="9072"/>
            <w:gridSpan w:val="2"/>
            <w:shd w:fill="16395C" w:color="auto" w:val="clear"/>
            <w:tcMar>
              <w:top w:type="dxa" w:w="60"/>
              <w:left w:type="dxa" w:w="100"/>
              <w:bottom w:type="dxa" w:w="60"/>
              <w:right w:type="dxa" w:w="100"/>
            </w:tcMar>
            <w:vAlign w:val="center"/>
          </w:tcPr>
          <w:p>
            <w:pPr>
              <w:spacing w:line="250" w:lineRule="auto"/>
              <w:jc w:val="left"/>
            </w:pPr>
            <w:r>
              <w:rPr>
                <w:rFonts w:ascii="ＭＳ ゴシック" w:eastAsia="ＭＳ ゴシック" w:hAnsi="ＭＳ ゴシック"/>
                <w:b/>
                <w:bCs/>
                <w:sz w:val="20"/>
                <w:szCs w:val="20"/>
              </w:rPr>
              <w:t xml:space="preserve">【１社目】</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事業場の名称</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所 在 地</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労働契約を締結した日　★</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令和　　年　　月　　日</w:t>
            </w:r>
          </w:p>
          <w:p>
            <w:pPr>
              <w:spacing w:line="250" w:lineRule="auto"/>
            </w:pPr>
            <w:r>
              <w:rPr>
                <w:rFonts w:ascii="ＭＳ 明朝" w:eastAsia="ＭＳ 明朝" w:hAnsi="ＭＳ 明朝"/>
                <w:sz w:val="19"/>
                <w:szCs w:val="19"/>
              </w:rPr>
              <w:t xml:space="preserve">※ 所定労働時間は労働契約の締結の先後の順に通算されるため、必ずご記入ください</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労働契約の期間</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令和　　年　　月　　日　〜　令和　　年　　月　　日　／　□ 期間の定めなし　□ 日雇い</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従事する業務の内容</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所 定 労 働 日</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□月　□火　□水　□木　□金　□土　□日　／　その他（　　　　　　　　　　）</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所定労働時間</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始業　　時　　分　　終業　　時　　分　　休憩　　　分　　／　１日　　　時間　　分</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１週間の所定労働時間</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時間　　　分</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所定外労働</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無　／　□ 有（１か月の見込み　　　　時間程度）</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運転業務の有無　★</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無　／　□ 有（□ 土砂等の運搬を含む）</w:t>
            </w:r>
          </w:p>
          <w:p>
            <w:pPr>
              <w:spacing w:line="250" w:lineRule="auto"/>
            </w:pPr>
            <w:r>
              <w:rPr>
                <w:rFonts w:ascii="ＭＳ 明朝" w:eastAsia="ＭＳ 明朝" w:hAnsi="ＭＳ 明朝"/>
                <w:sz w:val="19"/>
                <w:szCs w:val="19"/>
              </w:rPr>
              <w:t xml:space="preserve">※ 有の場合、改善基準告示の拘束時間・運転時間も通算して管理します</w:t>
            </w:r>
          </w:p>
        </w:tc>
      </w:tr>
    </w:tbl>
    <w:p>
      <w:pPr>
        <w:spacing w:after="0" w:before="0" w:line="300" w:lineRule="auto"/>
      </w:pPr>
      <w:r>
        <w:rPr>
          <w:rFonts w:ascii="ＭＳ 明朝" w:eastAsia="ＭＳ 明朝" w:hAnsi="ＭＳ 明朝"/>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c>
          <w:tcPr>
            <w:tcW w:type="dxa" w:w="9072"/>
            <w:gridSpan w:val="2"/>
            <w:shd w:fill="16395C" w:color="auto" w:val="clear"/>
            <w:tcMar>
              <w:top w:type="dxa" w:w="60"/>
              <w:left w:type="dxa" w:w="100"/>
              <w:bottom w:type="dxa" w:w="60"/>
              <w:right w:type="dxa" w:w="100"/>
            </w:tcMar>
            <w:vAlign w:val="center"/>
          </w:tcPr>
          <w:p>
            <w:pPr>
              <w:spacing w:line="250" w:lineRule="auto"/>
              <w:jc w:val="left"/>
            </w:pPr>
            <w:r>
              <w:rPr>
                <w:rFonts w:ascii="ＭＳ ゴシック" w:eastAsia="ＭＳ ゴシック" w:hAnsi="ＭＳ ゴシック"/>
                <w:b/>
                <w:bCs/>
                <w:sz w:val="20"/>
                <w:szCs w:val="20"/>
              </w:rPr>
              <w:t xml:space="preserve">【２社目】　※ 該当がない場合は空欄のままで結構です</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事業場の名称</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所 在 地</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労働契約を締結した日　★</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令和　　年　　月　　日</w:t>
            </w:r>
          </w:p>
          <w:p>
            <w:pPr>
              <w:spacing w:line="250" w:lineRule="auto"/>
            </w:pPr>
            <w:r>
              <w:rPr>
                <w:rFonts w:ascii="ＭＳ 明朝" w:eastAsia="ＭＳ 明朝" w:hAnsi="ＭＳ 明朝"/>
                <w:sz w:val="19"/>
                <w:szCs w:val="19"/>
              </w:rPr>
              <w:t xml:space="preserve">※ 所定労働時間は労働契約の締結の先後の順に通算されるため、必ずご記入ください</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労働契約の期間</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令和　　年　　月　　日　〜　令和　　年　　月　　日　／　□ 期間の定めなし　□ 日雇い</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従事する業務の内容</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所 定 労 働 日</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□月　□火　□水　□木　□金　□土　□日　／　その他（　　　　　　　　　　）</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所定労働時間</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始業　　時　　分　　終業　　時　　分　　休憩　　　分　　／　１日　　　時間　　分</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１週間の所定労働時間</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時間　　　分</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所定外労働</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無　／　□ 有（１か月の見込み　　　　時間程度）</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運転業務の有無　★</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無　／　□ 有（□ 土砂等の運搬を含む）</w:t>
            </w:r>
          </w:p>
          <w:p>
            <w:pPr>
              <w:spacing w:line="250" w:lineRule="auto"/>
            </w:pPr>
            <w:r>
              <w:rPr>
                <w:rFonts w:ascii="ＭＳ 明朝" w:eastAsia="ＭＳ 明朝" w:hAnsi="ＭＳ 明朝"/>
                <w:sz w:val="19"/>
                <w:szCs w:val="19"/>
              </w:rPr>
              <w:t xml:space="preserve">※ 有の場合、改善基準告示の拘束時間・運転時間も通算して管理します</w:t>
            </w:r>
          </w:p>
        </w:tc>
      </w:tr>
    </w:tbl>
    <w:p>
      <w:pPr>
        <w:spacing w:after="0" w:before="0" w:line="300" w:lineRule="auto"/>
      </w:pPr>
      <w:r>
        <w:rPr>
          <w:rFonts w:ascii="ＭＳ 明朝" w:eastAsia="ＭＳ 明朝" w:hAnsi="ＭＳ 明朝"/>
          <w:sz w:val="21"/>
          <w:szCs w:val="21"/>
        </w:rPr>
        <w:t xml:space="preserve"/>
      </w:r>
    </w:p>
    <w:p>
      <w:pPr>
        <w:spacing w:after="100" w:before="0" w:line="300" w:lineRule="auto"/>
      </w:pPr>
      <w:r>
        <w:rPr>
          <w:rFonts w:ascii="ＭＳ ゴシック" w:eastAsia="ＭＳ ゴシック" w:hAnsi="ＭＳ ゴシック"/>
          <w:b/>
          <w:bCs/>
          <w:sz w:val="21"/>
          <w:szCs w:val="21"/>
        </w:rPr>
        <w:t xml:space="preserve">２　確 認 事 項</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20"/>
        <w:gridCol w:w="8452"/>
      </w:tblGrid>
      <w:tr>
        <w:tc>
          <w:tcPr>
            <w:tcW w:type="dxa" w:w="620"/>
            <w:tcMar>
              <w:top w:type="dxa" w:w="60"/>
              <w:left w:type="dxa" w:w="100"/>
              <w:bottom w:type="dxa" w:w="60"/>
              <w:right w:type="dxa" w:w="100"/>
            </w:tcMar>
            <w:vAlign w:val="center"/>
          </w:tcPr>
          <w:p>
            <w:pPr>
              <w:spacing w:line="250" w:lineRule="auto"/>
              <w:jc w:val="center"/>
            </w:pPr>
            <w:r>
              <w:rPr>
                <w:rFonts w:ascii="ＭＳ 明朝" w:eastAsia="ＭＳ 明朝" w:hAnsi="ＭＳ 明朝"/>
                <w:sz w:val="22"/>
                <w:szCs w:val="22"/>
              </w:rPr>
              <w:t xml:space="preserve">□</w:t>
            </w:r>
          </w:p>
        </w:tc>
        <w:tc>
          <w:tcPr>
            <w:tcW w:type="dxa" w:w="845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上記の内容に相違ありません。</w:t>
            </w:r>
          </w:p>
        </w:tc>
      </w:tr>
      <w:tr>
        <w:tc>
          <w:tcPr>
            <w:tcW w:type="dxa" w:w="620"/>
            <w:tcMar>
              <w:top w:type="dxa" w:w="60"/>
              <w:left w:type="dxa" w:w="100"/>
              <w:bottom w:type="dxa" w:w="60"/>
              <w:right w:type="dxa" w:w="100"/>
            </w:tcMar>
            <w:vAlign w:val="center"/>
          </w:tcPr>
          <w:p>
            <w:pPr>
              <w:spacing w:line="250" w:lineRule="auto"/>
              <w:jc w:val="center"/>
            </w:pPr>
            <w:r>
              <w:rPr>
                <w:rFonts w:ascii="ＭＳ 明朝" w:eastAsia="ＭＳ 明朝" w:hAnsi="ＭＳ 明朝"/>
                <w:sz w:val="22"/>
                <w:szCs w:val="22"/>
              </w:rPr>
              <w:t xml:space="preserve">□</w:t>
            </w:r>
          </w:p>
        </w:tc>
        <w:tc>
          <w:tcPr>
            <w:tcW w:type="dxa" w:w="845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記載内容に変更が生じたときは、速やかに届け出ます。</w:t>
            </w:r>
          </w:p>
        </w:tc>
      </w:tr>
      <w:tr>
        <w:tc>
          <w:tcPr>
            <w:tcW w:type="dxa" w:w="620"/>
            <w:tcMar>
              <w:top w:type="dxa" w:w="60"/>
              <w:left w:type="dxa" w:w="100"/>
              <w:bottom w:type="dxa" w:w="60"/>
              <w:right w:type="dxa" w:w="100"/>
            </w:tcMar>
            <w:vAlign w:val="center"/>
          </w:tcPr>
          <w:p>
            <w:pPr>
              <w:spacing w:line="250" w:lineRule="auto"/>
              <w:jc w:val="center"/>
            </w:pPr>
            <w:r>
              <w:rPr>
                <w:rFonts w:ascii="ＭＳ 明朝" w:eastAsia="ＭＳ 明朝" w:hAnsi="ＭＳ 明朝"/>
                <w:sz w:val="22"/>
                <w:szCs w:val="22"/>
              </w:rPr>
              <w:t xml:space="preserve">□</w:t>
            </w:r>
          </w:p>
        </w:tc>
        <w:tc>
          <w:tcPr>
            <w:tcW w:type="dxa" w:w="845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会社が労働基準法第３８条第１項により労働時間を通算して管理すること、及びその結果として時間外労働の割増賃金の計算に用いることを了解しました。</w:t>
            </w:r>
          </w:p>
        </w:tc>
      </w:tr>
    </w:tbl>
    <w:p>
      <w:pPr>
        <w:spacing w:after="0" w:before="0" w:line="300" w:lineRule="auto"/>
      </w:pPr>
      <w:r>
        <w:rPr>
          <w:rFonts w:ascii="ＭＳ 明朝" w:eastAsia="ＭＳ 明朝" w:hAnsi="ＭＳ 明朝"/>
          <w:sz w:val="21"/>
          <w:szCs w:val="21"/>
        </w:rPr>
        <w:t xml:space="preserve"/>
      </w:r>
    </w:p>
    <w:p>
      <w:pPr>
        <w:spacing w:after="100" w:before="0" w:line="300" w:lineRule="auto"/>
      </w:pPr>
      <w:r>
        <w:rPr>
          <w:rFonts w:ascii="ＭＳ ゴシック" w:eastAsia="ＭＳ ゴシック" w:hAnsi="ＭＳ ゴシック"/>
          <w:b/>
          <w:bCs/>
          <w:sz w:val="21"/>
          <w:szCs w:val="21"/>
        </w:rPr>
        <w:t xml:space="preserve">３　届 出 者</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届 出 日</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令和　　年　　月　　日</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氏 名</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連 絡 先</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ＴＥＬ　　　　　－　　　　　－</w:t>
            </w:r>
          </w:p>
        </w:tc>
      </w:tr>
    </w:tbl>
    <w:p>
      <w:pPr>
        <w:spacing w:after="0" w:before="0" w:line="300" w:lineRule="auto"/>
      </w:pPr>
      <w:r>
        <w:rPr>
          <w:rFonts w:ascii="ＭＳ 明朝" w:eastAsia="ＭＳ 明朝" w:hAnsi="ＭＳ 明朝"/>
          <w:sz w:val="21"/>
          <w:szCs w:val="21"/>
        </w:rPr>
        <w:t xml:space="preserve"/>
      </w:r>
    </w:p>
    <w:p>
      <w:pPr>
        <w:spacing w:after="0" w:before="0" w:line="300" w:lineRule="auto"/>
      </w:pPr>
      <w:r>
        <w:rPr>
          <w:rFonts w:ascii="ＭＳ ゴシック" w:eastAsia="ＭＳ ゴシック" w:hAnsi="ＭＳ ゴシック"/>
          <w:sz w:val="19"/>
          <w:szCs w:val="19"/>
        </w:rPr>
        <w:t xml:space="preserve">〔 会 社 記 入 欄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受 理 日</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令和　　年　　月　　日　　　受理者　　　　　　　　　　　㊞</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当社の位置づけ</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使用者Ａ（先に労働契約を締結）　　□ 使用者Ｂ（後から労働契約を締結）</w:t>
            </w:r>
          </w:p>
        </w:tc>
      </w:tr>
      <w:tr>
        <w:tc>
          <w:tcPr>
            <w:tcW w:type="dxa" w:w="26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通算後の取扱い</w:t>
            </w:r>
          </w:p>
        </w:tc>
        <w:tc>
          <w:tcPr>
            <w:tcW w:type="dxa" w:w="64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通算しても法定労働時間の範囲内</w:t>
            </w:r>
          </w:p>
          <w:p>
            <w:pPr>
              <w:spacing w:line="250" w:lineRule="auto"/>
            </w:pPr>
            <w:r>
              <w:rPr>
                <w:rFonts w:ascii="ＭＳ 明朝" w:eastAsia="ＭＳ 明朝" w:hAnsi="ＭＳ 明朝"/>
                <w:sz w:val="19"/>
                <w:szCs w:val="19"/>
              </w:rPr>
              <w:t xml:space="preserve">□ 法定労働時間を超えるため、当社で時間外労働として取り扱う（　　　時間／日）</w:t>
            </w:r>
          </w:p>
          <w:p>
            <w:pPr>
              <w:spacing w:line="250" w:lineRule="auto"/>
            </w:pPr>
            <w:r>
              <w:rPr>
                <w:rFonts w:ascii="ＭＳ 明朝" w:eastAsia="ＭＳ 明朝" w:hAnsi="ＭＳ 明朝"/>
                <w:sz w:val="19"/>
                <w:szCs w:val="19"/>
              </w:rPr>
              <w:t xml:space="preserve">□ 管理モデルにより上限を設定する（別紙「労働時間の上限設定書」）</w:t>
            </w:r>
          </w:p>
        </w:tc>
      </w:tr>
    </w:tbl>
    <w:p>
      <w:pPr>
        <w:spacing w:after="0" w:before="0" w:line="300" w:lineRule="auto"/>
      </w:pPr>
      <w:r>
        <w:rPr>
          <w:rFonts w:ascii="ＭＳ 明朝" w:eastAsia="ＭＳ 明朝" w:hAnsi="ＭＳ 明朝"/>
          <w:sz w:val="21"/>
          <w:szCs w:val="21"/>
        </w:rPr>
        <w:t xml:space="preserve"/>
      </w:r>
    </w:p>
    <w:p>
      <w:pPr>
        <w:spacing w:after="0" w:before="0" w:line="300" w:lineRule="auto"/>
      </w:pPr>
      <w:r>
        <w:rPr>
          <w:rFonts w:ascii="ＭＳ ゴシック" w:eastAsia="ＭＳ ゴシック" w:hAnsi="ＭＳ ゴシック"/>
          <w:sz w:val="18"/>
          <w:szCs w:val="18"/>
        </w:rPr>
        <w:t xml:space="preserve">〔 根 拠 〕</w:t>
      </w:r>
    </w:p>
    <w:p>
      <w:pPr>
        <w:spacing w:after="0" w:before="0" w:line="240" w:lineRule="auto"/>
      </w:pPr>
      <w:r>
        <w:rPr>
          <w:rFonts w:ascii="ＭＳ 明朝" w:eastAsia="ＭＳ 明朝" w:hAnsi="ＭＳ 明朝"/>
          <w:sz w:val="17"/>
          <w:szCs w:val="17"/>
        </w:rPr>
        <w:t xml:space="preserve">労働基準法第３８条第１項「労働時間は、事業場を異にする場合においても、労働時間に関する規定の適用については通算する。」</w:t>
      </w:r>
    </w:p>
    <w:p>
      <w:pPr>
        <w:spacing w:after="0" w:before="0" w:line="240" w:lineRule="auto"/>
      </w:pPr>
      <w:r>
        <w:rPr>
          <w:rFonts w:ascii="ＭＳ 明朝" w:eastAsia="ＭＳ 明朝" w:hAnsi="ＭＳ 明朝"/>
          <w:sz w:val="17"/>
          <w:szCs w:val="17"/>
        </w:rPr>
        <w:t xml:space="preserve">「事業場を異にする場合」とは事業主を異にする場合をも含む（昭和２３年５月１４日付け基発第７６９号）。</w:t>
      </w:r>
    </w:p>
    <w:p>
      <w:pPr>
        <w:spacing w:after="0" w:before="0" w:line="240" w:lineRule="auto"/>
      </w:pPr>
      <w:r>
        <w:rPr>
          <w:rFonts w:ascii="ＭＳ 明朝" w:eastAsia="ＭＳ 明朝" w:hAnsi="ＭＳ 明朝"/>
          <w:sz w:val="17"/>
          <w:szCs w:val="17"/>
        </w:rPr>
        <w:t xml:space="preserve">労働時間の通算は、自らの事業場における労働時間と、労働者からの申告等により把握した他の使用者の事業場における労働時間とを通算することによって行う（令和２年９月１日付け基発０９０１第３号 第３の１(2)）。正確にご記入ください。</w:t>
      </w:r>
    </w:p>
    <w:p>
      <w:pPr>
        <w:spacing w:after="0" w:before="0" w:line="240" w:lineRule="auto"/>
      </w:pPr>
      <w:r>
        <w:rPr>
          <w:rFonts w:ascii="ＭＳ 明朝" w:eastAsia="ＭＳ 明朝" w:hAnsi="ＭＳ 明朝"/>
          <w:sz w:val="17"/>
          <w:szCs w:val="17"/>
        </w:rPr>
        <w:t xml:space="preserve">通算されるのは法定労働時間（法第３２条・第４０条）等です。休憩（第３４条）・休日（第３５条）・年次有給休暇（第３９条）は通算されません（同通達 第１の３）。</w:t>
      </w:r>
    </w:p>
    <w:sectPr>
      <w:pgSz w:w="11906" w:h="16838" w:orient="portrait"/>
      <w:pgMar w:top="1418" w:right="1417" w:bottom="1418"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eastAsia="ＭＳ 明朝" w:hAnsi="ＭＳ 明朝"/>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2026-09-28T04:38:50.659Z</dcterms:created>
  <dcterms:modified xsi:type="dcterms:W3CDTF">2026-09-28T04:38:50.660Z</dcterms:modified>
</cp:coreProperties>
</file>

<file path=docProps/custom.xml><?xml version="1.0" encoding="utf-8"?>
<Properties xmlns="http://schemas.openxmlformats.org/officeDocument/2006/custom-properties" xmlns:vt="http://schemas.openxmlformats.org/officeDocument/2006/docPropsVTypes"/>
</file>