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lineRule="auto"/>
        <w:jc w:val="center"/>
      </w:pPr>
      <w:r>
        <w:rPr>
          <w:rFonts w:ascii="ＭＳ ゴシック" w:eastAsia="ＭＳ ゴシック" w:hAnsi="ＭＳ ゴシック"/>
          <w:b/>
          <w:bCs/>
          <w:sz w:val="28"/>
          <w:szCs w:val="28"/>
        </w:rPr>
        <w:t xml:space="preserve">労 働 時 間 の 上 限 設 定 書 （ 管 理 モ デ ル ）</w:t>
      </w:r>
    </w:p>
    <w:p>
      <w:pPr>
        <w:spacing w:after="0" w:before="0" w:line="300" w:lineRule="auto"/>
        <w:jc w:val="center"/>
      </w:pPr>
      <w:r>
        <w:rPr>
          <w:rFonts w:ascii="ＭＳ 明朝" w:eastAsia="ＭＳ 明朝" w:hAnsi="ＭＳ 明朝"/>
          <w:sz w:val="17"/>
          <w:szCs w:val="17"/>
        </w:rPr>
        <w:t xml:space="preserve">令和２年９月１日付け基発０９０１第３号「副業・兼業の場合における労働時間管理に係る労働基準法第３８条第１項の解釈等について」第５に基づく</w:t>
      </w:r>
    </w:p>
    <w:p>
      <w:pPr>
        <w:spacing w:after="0" w:before="0" w:line="300" w:lineRule="auto"/>
      </w:pPr>
      <w:r>
        <w:rPr>
          <w:rFonts w:ascii="ＭＳ 明朝" w:eastAsia="ＭＳ 明朝" w:hAnsi="ＭＳ 明朝"/>
          <w:sz w:val="21"/>
          <w:szCs w:val="21"/>
        </w:rPr>
        <w:t xml:space="preserve"/>
      </w:r>
    </w:p>
    <w:p>
      <w:pPr>
        <w:spacing w:after="0" w:before="0" w:line="300" w:lineRule="auto"/>
        <w:ind w:firstLine="0"/>
      </w:pPr>
      <w:r>
        <w:rPr>
          <w:rFonts w:ascii="ＭＳ 明朝" w:eastAsia="ＭＳ 明朝" w:hAnsi="ＭＳ 明朝"/>
          <w:sz w:val="21"/>
          <w:szCs w:val="21"/>
        </w:rPr>
        <w:t xml:space="preserve">　下記の労働者について、副業・兼業の開始前に、各々の使用者の事業場における労働時間の上限を次のとおり設定する。</w:t>
      </w:r>
    </w:p>
    <w:p>
      <w:pPr>
        <w:spacing w:after="0" w:before="0" w:line="300" w:lineRule="auto"/>
        <w:ind w:firstLine="0"/>
      </w:pPr>
      <w:r>
        <w:rPr>
          <w:rFonts w:ascii="ＭＳ 明朝" w:eastAsia="ＭＳ 明朝" w:hAnsi="ＭＳ 明朝"/>
          <w:sz w:val="21"/>
          <w:szCs w:val="21"/>
        </w:rPr>
        <w:t xml:space="preserve">　各々の使用者は、それぞれ設定した範囲内で労働させることとし、これにより、相手方の事業場における実労働時間を把握することなく労働基準法を遵守するものとする。</w:t>
      </w:r>
    </w:p>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１　当 事 者</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9072"/>
            <w:gridSpan w:val="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20"/>
                <w:szCs w:val="20"/>
              </w:rPr>
              <w:t xml:space="preserve">使用者Ａ　―　時間的に先に労働契約を締結していた使用者</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名 称</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 在 地</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労働契約を締結した日</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担当者・連絡先</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ＴＥＬ　　　　－　　　　－</w:t>
            </w:r>
          </w:p>
        </w:tc>
      </w:tr>
      <w:tr>
        <w:tc>
          <w:tcPr>
            <w:tcW w:type="dxa" w:w="9072"/>
            <w:gridSpan w:val="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20"/>
                <w:szCs w:val="20"/>
              </w:rPr>
              <w:t xml:space="preserve">使用者Ｂ　―　時間的に後から労働契約を締結した使用者</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名 称</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所 在 地</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労働契約を締結した日</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担当者・連絡先</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ＴＥＬ　　　　－　　　　－</w:t>
            </w:r>
          </w:p>
        </w:tc>
      </w:tr>
    </w:tbl>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２　１か月の労働時間の上限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2836"/>
        <w:gridCol w:w="2836"/>
      </w:tblGrid>
      <w:tr>
        <w:trPr>
          <w:tblHeader/>
        </w:trPr>
        <w:tc>
          <w:tcPr>
            <w:tcW w:type="dxa" w:w="3400"/>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20"/>
                <w:szCs w:val="20"/>
              </w:rPr>
              <w:t xml:space="preserve">項 目</w:t>
            </w:r>
          </w:p>
        </w:tc>
        <w:tc>
          <w:tcPr>
            <w:tcW w:type="dxa" w:w="2836"/>
            <w:shd w:fill="16395C" w:color="auto" w:val="clear"/>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20"/>
                <w:szCs w:val="20"/>
              </w:rPr>
              <w:t xml:space="preserve">使用者Ａ</w:t>
            </w:r>
          </w:p>
        </w:tc>
        <w:tc>
          <w:tcPr>
            <w:tcW w:type="dxa" w:w="2836"/>
            <w:shd w:fill="16395C" w:color="auto" w:val="clear"/>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20"/>
                <w:szCs w:val="20"/>
              </w:rPr>
              <w:t xml:space="preserve">使用者Ｂ</w:t>
            </w:r>
          </w:p>
        </w:tc>
      </w:tr>
      <w:tr>
        <w:tc>
          <w:tcPr>
            <w:tcW w:type="dxa" w:w="3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月の労働時間の起算日</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毎月　　　日</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毎月　　　日</w:t>
            </w:r>
          </w:p>
        </w:tc>
      </w:tr>
      <w:tr>
        <w:tc>
          <w:tcPr>
            <w:tcW w:type="dxa" w:w="3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１か月の上限として設定する時間</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法定外労働時間</w:t>
            </w:r>
          </w:p>
          <w:p>
            <w:pPr>
              <w:spacing w:line="250" w:lineRule="auto"/>
              <w:jc w:val="center"/>
            </w:pPr>
            <w:r>
              <w:rPr>
                <w:rFonts w:ascii="ＭＳ 明朝" w:eastAsia="ＭＳ 明朝" w:hAnsi="ＭＳ 明朝"/>
                <w:sz w:val="19"/>
                <w:szCs w:val="19"/>
              </w:rPr>
              <w:t xml:space="preserve">　　　　時間</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労働時間（所定＋所定外）</w:t>
            </w:r>
          </w:p>
          <w:p>
            <w:pPr>
              <w:spacing w:line="250" w:lineRule="auto"/>
              <w:jc w:val="center"/>
            </w:pPr>
            <w:r>
              <w:rPr>
                <w:rFonts w:ascii="ＭＳ 明朝" w:eastAsia="ＭＳ 明朝" w:hAnsi="ＭＳ 明朝"/>
                <w:sz w:val="19"/>
                <w:szCs w:val="19"/>
              </w:rPr>
              <w:t xml:space="preserve">　　　　時間</w:t>
            </w:r>
          </w:p>
        </w:tc>
      </w:tr>
      <w:tr>
        <w:tc>
          <w:tcPr>
            <w:tcW w:type="dxa" w:w="3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うち深夜業の見込み</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時間</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時間</w:t>
            </w:r>
          </w:p>
        </w:tc>
      </w:tr>
      <w:tr>
        <w:tc>
          <w:tcPr>
            <w:tcW w:type="dxa" w:w="3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１か月の合計（Ａ＋Ｂ）</w:t>
            </w:r>
          </w:p>
        </w:tc>
        <w:tc>
          <w:tcPr>
            <w:tcW w:type="dxa" w:w="5672"/>
            <w:gridSpan w:val="2"/>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時間</w:t>
            </w:r>
          </w:p>
        </w:tc>
      </w:tr>
      <w:tr>
        <w:tc>
          <w:tcPr>
            <w:tcW w:type="dxa" w:w="3400"/>
            <w:shd w:fill="FDF4E2"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　　→　単月１００時間未満であること</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確認</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確認</w:t>
            </w:r>
          </w:p>
        </w:tc>
      </w:tr>
      <w:tr>
        <w:tc>
          <w:tcPr>
            <w:tcW w:type="dxa" w:w="3400"/>
            <w:shd w:fill="FDF4E2"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　　→　複数月平均８０時間以内であること</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確認</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確認</w:t>
            </w:r>
          </w:p>
        </w:tc>
      </w:tr>
      <w:tr>
        <w:tc>
          <w:tcPr>
            <w:tcW w:type="dxa" w:w="3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３６協定の延長時間の範囲内であること</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確認</w:t>
            </w:r>
          </w:p>
        </w:tc>
        <w:tc>
          <w:tcPr>
            <w:tcW w:type="dxa" w:w="2836"/>
            <w:tcMar>
              <w:top w:type="dxa" w:w="60"/>
              <w:left w:type="dxa" w:w="100"/>
              <w:bottom w:type="dxa" w:w="60"/>
              <w:right w:type="dxa" w:w="100"/>
            </w:tcMar>
            <w:vAlign w:val="center"/>
          </w:tcPr>
          <w:p>
            <w:pPr>
              <w:spacing w:line="250" w:lineRule="auto"/>
              <w:jc w:val="center"/>
            </w:pPr>
            <w:r>
              <w:rPr>
                <w:rFonts w:ascii="ＭＳ 明朝" w:eastAsia="ＭＳ 明朝" w:hAnsi="ＭＳ 明朝"/>
                <w:sz w:val="19"/>
                <w:szCs w:val="19"/>
              </w:rPr>
              <w:t xml:space="preserve">□ 確認</w:t>
            </w:r>
          </w:p>
        </w:tc>
      </w:tr>
    </w:tbl>
    <w:p>
      <w:pPr>
        <w:spacing w:after="0" w:before="80" w:line="240" w:lineRule="auto"/>
      </w:pPr>
      <w:r>
        <w:rPr>
          <w:rFonts w:ascii="ＭＳ 明朝" w:eastAsia="ＭＳ 明朝" w:hAnsi="ＭＳ 明朝"/>
          <w:sz w:val="17"/>
          <w:szCs w:val="17"/>
        </w:rPr>
        <w:t xml:space="preserve">※ 月の労働時間の起算日が使用者Ａと使用者Ｂとで異なる場合は、各々の事業場の労働時間制度における起算日を基に、そこから起算した１か月における上限をそれぞれ設定して差し支えない（同通達 第５の３(2)）。</w:t>
      </w:r>
    </w:p>
    <w:p>
      <w:pPr>
        <w:spacing w:after="0" w:before="0" w:line="240" w:lineRule="auto"/>
      </w:pPr>
      <w:r>
        <w:rPr>
          <w:rFonts w:ascii="ＭＳ 明朝" w:eastAsia="ＭＳ 明朝" w:hAnsi="ＭＳ 明朝"/>
          <w:sz w:val="17"/>
          <w:szCs w:val="17"/>
        </w:rPr>
        <w:t xml:space="preserve">※ 合計を８０時間を超えるものとした場合、翌月以降に複数月平均８０時間未満となるよう調整が必要になり得るため、そのような調整が生じないように上限を設定することが望ましい（同 第５の４(1)）。</w:t>
      </w:r>
    </w:p>
    <w:p>
      <w:r>
        <w:br w:type="page"/>
      </w:r>
    </w:p>
    <w:p>
      <w:pPr>
        <w:spacing w:after="100" w:before="0" w:line="300" w:lineRule="auto"/>
      </w:pPr>
      <w:r>
        <w:rPr>
          <w:rFonts w:ascii="ＭＳ ゴシック" w:eastAsia="ＭＳ ゴシック" w:hAnsi="ＭＳ ゴシック"/>
          <w:b/>
          <w:bCs/>
          <w:sz w:val="21"/>
          <w:szCs w:val="21"/>
        </w:rPr>
        <w:t xml:space="preserve">３　時間外労働の割増賃金</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9072"/>
            <w:gridSpan w:val="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20"/>
                <w:szCs w:val="20"/>
              </w:rPr>
              <w:t xml:space="preserve">時間外労働の割増賃金の取扱い</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使用者Ａが支払う範囲</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自らの事業場における【法定外労働時間】の労働について支払う。</w:t>
            </w:r>
          </w:p>
          <w:p>
            <w:pPr>
              <w:spacing w:line="250" w:lineRule="auto"/>
            </w:pPr>
            <w:r>
              <w:rPr>
                <w:rFonts w:ascii="ＭＳ 明朝" w:eastAsia="ＭＳ 明朝" w:hAnsi="ＭＳ 明朝"/>
                <w:sz w:val="19"/>
                <w:szCs w:val="19"/>
              </w:rPr>
              <w:t xml:space="preserve">※ 所定外労働時間についても割増賃金を支払うこととしている場合は、所定外労働時間の労働について支払う</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使用者Ｂが支払う範囲</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自らの事業場における【労働時間】の労働について支払う（所定労働時間を含む）</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割 増 率</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それぞれ自らの事業場の就業規則等で定めた率（２割５分以上）。</w:t>
            </w:r>
          </w:p>
          <w:p>
            <w:pPr>
              <w:spacing w:line="250" w:lineRule="auto"/>
            </w:pPr>
            <w:r>
              <w:rPr>
                <w:rFonts w:ascii="ＭＳ 明朝" w:eastAsia="ＭＳ 明朝" w:hAnsi="ＭＳ 明朝"/>
                <w:sz w:val="19"/>
                <w:szCs w:val="19"/>
              </w:rPr>
              <w:t xml:space="preserve">ただし、使用者Ａの法定外労働時間の上限に使用者Ｂの労働時間を通算して、自らの事業場の労働時間制度における法定労働時間を超える部分が１か月について６０時間を超えた場合には、その超えた時間の労働のうち自らの事業場において労働させた時間については５割以上の率</w:t>
            </w:r>
          </w:p>
        </w:tc>
      </w:tr>
    </w:tbl>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４　運 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9072"/>
            <w:gridSpan w:val="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20"/>
                <w:szCs w:val="20"/>
              </w:rPr>
              <w:t xml:space="preserve">運用上の取決め</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実労働時間の把握</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各々の使用者は、あらかじめ設定した上記の上限の範囲内で労働させる限り、【相手方の事業場における実労働時間を把握することを要しない】。</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上限を変更する場合</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あらかじめ【労働者を通じて】相手方に通知し、必要に応じて相手方において設定した上限を変更する。</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３以上の事業場の場合</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労働者が事業主を異にする３以上の事業場で労働する場合も、同様に取り扱う。</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改善基準告示</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土砂等の運搬その他の運転業務に従事する場合は、通算した拘束時間・運転時間が「自動車運転者の労働時間等の改善のための基準」に適合するよう管理する。</w:t>
            </w:r>
          </w:p>
        </w:tc>
      </w:tr>
      <w:tr>
        <w:tc>
          <w:tcPr>
            <w:tcW w:type="dxa" w:w="28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有効期間</w:t>
            </w:r>
          </w:p>
        </w:tc>
        <w:tc>
          <w:tcPr>
            <w:tcW w:type="dxa" w:w="62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　から　令和　　年　　月　　日　まで</w:t>
            </w:r>
          </w:p>
          <w:p>
            <w:pPr>
              <w:spacing w:line="250" w:lineRule="auto"/>
            </w:pPr>
            <w:r>
              <w:rPr>
                <w:rFonts w:ascii="ＭＳ 明朝" w:eastAsia="ＭＳ 明朝" w:hAnsi="ＭＳ 明朝"/>
                <w:sz w:val="19"/>
                <w:szCs w:val="19"/>
              </w:rPr>
              <w:t xml:space="preserve">□ 期間満了後も、いずれかから申出がない限り同一条件で継続する</w:t>
            </w:r>
          </w:p>
        </w:tc>
      </w:tr>
    </w:tbl>
    <w:p>
      <w:pPr>
        <w:spacing w:after="0" w:before="0" w:line="300" w:lineRule="auto"/>
      </w:pPr>
      <w:r>
        <w:rPr>
          <w:rFonts w:ascii="ＭＳ 明朝" w:eastAsia="ＭＳ 明朝" w:hAnsi="ＭＳ 明朝"/>
          <w:sz w:val="21"/>
          <w:szCs w:val="21"/>
        </w:rPr>
        <w:t xml:space="preserve"/>
      </w:r>
    </w:p>
    <w:p>
      <w:pPr>
        <w:spacing w:after="100" w:before="0" w:line="300" w:lineRule="auto"/>
      </w:pPr>
      <w:r>
        <w:rPr>
          <w:rFonts w:ascii="ＭＳ ゴシック" w:eastAsia="ＭＳ ゴシック" w:hAnsi="ＭＳ ゴシック"/>
          <w:b/>
          <w:bCs/>
          <w:sz w:val="21"/>
          <w:szCs w:val="21"/>
        </w:rPr>
        <w:t xml:space="preserve">５　署 名</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設 定 日</w:t>
            </w:r>
          </w:p>
        </w:tc>
        <w:tc>
          <w:tcPr>
            <w:tcW w:type="dxa" w:w="68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令和　　年　　月　　日</w:t>
            </w:r>
          </w:p>
        </w:tc>
      </w:tr>
      <w:tr>
        <w:tc>
          <w:tcPr>
            <w:tcW w:type="dxa" w:w="22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対象となる労働者</w:t>
            </w:r>
          </w:p>
        </w:tc>
        <w:tc>
          <w:tcPr>
            <w:tcW w:type="dxa" w:w="68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氏名　　　　　　　　　　　　　　　　　　　㊞</w:t>
            </w:r>
          </w:p>
          <w:p>
            <w:pPr>
              <w:spacing w:line="250" w:lineRule="auto"/>
            </w:pPr>
            <w:r>
              <w:rPr>
                <w:rFonts w:ascii="ＭＳ 明朝" w:eastAsia="ＭＳ 明朝" w:hAnsi="ＭＳ 明朝"/>
                <w:sz w:val="19"/>
                <w:szCs w:val="19"/>
              </w:rPr>
              <w:t xml:space="preserve">生年月日　　　　年　　月　　日</w:t>
            </w:r>
          </w:p>
        </w:tc>
      </w:tr>
      <w:tr>
        <w:tc>
          <w:tcPr>
            <w:tcW w:type="dxa" w:w="22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使 用 者 Ａ</w:t>
            </w:r>
          </w:p>
        </w:tc>
        <w:tc>
          <w:tcPr>
            <w:tcW w:type="dxa" w:w="68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名称　　　　　　　　　　　　　　　　　　　</w:t>
            </w:r>
          </w:p>
          <w:p>
            <w:pPr>
              <w:spacing w:line="250" w:lineRule="auto"/>
            </w:pPr>
            <w:r>
              <w:rPr>
                <w:rFonts w:ascii="ＭＳ 明朝" w:eastAsia="ＭＳ 明朝" w:hAnsi="ＭＳ 明朝"/>
                <w:sz w:val="19"/>
                <w:szCs w:val="19"/>
              </w:rPr>
              <w:t xml:space="preserve">代表者又は責任者　　　　　　　　　　　　　㊞</w:t>
            </w:r>
          </w:p>
        </w:tc>
      </w:tr>
      <w:tr>
        <w:tc>
          <w:tcPr>
            <w:tcW w:type="dxa" w:w="22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使 用 者 Ｂ</w:t>
            </w:r>
          </w:p>
        </w:tc>
        <w:tc>
          <w:tcPr>
            <w:tcW w:type="dxa" w:w="68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名称　　　　　　　　　　　　　　　　　　　</w:t>
            </w:r>
          </w:p>
          <w:p>
            <w:pPr>
              <w:spacing w:line="250" w:lineRule="auto"/>
            </w:pPr>
            <w:r>
              <w:rPr>
                <w:rFonts w:ascii="ＭＳ 明朝" w:eastAsia="ＭＳ 明朝" w:hAnsi="ＭＳ 明朝"/>
                <w:sz w:val="19"/>
                <w:szCs w:val="19"/>
              </w:rPr>
              <w:t xml:space="preserve">代表者又は責任者　　　　　　　　　　　　　㊞</w:t>
            </w:r>
          </w:p>
        </w:tc>
      </w:tr>
    </w:tbl>
    <w:p>
      <w:pPr>
        <w:spacing w:after="0" w:before="0" w:line="300" w:lineRule="auto"/>
      </w:pPr>
      <w:r>
        <w:rPr>
          <w:rFonts w:ascii="ＭＳ 明朝" w:eastAsia="ＭＳ 明朝" w:hAnsi="ＭＳ 明朝"/>
          <w:sz w:val="21"/>
          <w:szCs w:val="21"/>
        </w:rPr>
        <w:t xml:space="preserve"/>
      </w:r>
    </w:p>
    <w:p>
      <w:pPr>
        <w:spacing w:after="0" w:before="0" w:line="300" w:lineRule="auto"/>
      </w:pPr>
      <w:r>
        <w:rPr>
          <w:rFonts w:ascii="ＭＳ ゴシック" w:eastAsia="ＭＳ ゴシック" w:hAnsi="ＭＳ ゴシック"/>
          <w:sz w:val="19"/>
          <w:szCs w:val="19"/>
        </w:rPr>
        <w:t xml:space="preserve">〔 使 い 方 〕</w:t>
      </w:r>
    </w:p>
    <w:p>
      <w:pPr>
        <w:spacing w:after="0" w:before="0" w:line="250" w:lineRule="auto"/>
      </w:pPr>
      <w:r>
        <w:rPr>
          <w:rFonts w:ascii="ＭＳ 明朝" w:eastAsia="ＭＳ 明朝" w:hAnsi="ＭＳ 明朝"/>
          <w:sz w:val="18"/>
          <w:szCs w:val="18"/>
        </w:rPr>
        <w:t xml:space="preserve">１　労働者から「副業・兼業に関する届出書」を受け取り、労働契約の締結日の先後から使用者Ａ・使用者Ｂを確定します。</w:t>
      </w:r>
    </w:p>
    <w:p>
      <w:pPr>
        <w:spacing w:after="0" w:before="0" w:line="250" w:lineRule="auto"/>
      </w:pPr>
      <w:r>
        <w:rPr>
          <w:rFonts w:ascii="ＭＳ 明朝" w:eastAsia="ＭＳ 明朝" w:hAnsi="ＭＳ 明朝"/>
          <w:sz w:val="18"/>
          <w:szCs w:val="18"/>
        </w:rPr>
        <w:t xml:space="preserve">２　管理モデルは、一般に、使用者Ａが労働者に対して管理モデルにより副業・兼業を行うことを求め、労働者及び労働者を通じて使用者Ｂがこれに応じることによって導入されます（同通達 第５の３(1)）。</w:t>
      </w:r>
    </w:p>
    <w:p>
      <w:pPr>
        <w:spacing w:after="0" w:before="0" w:line="250" w:lineRule="auto"/>
      </w:pPr>
      <w:r>
        <w:rPr>
          <w:rFonts w:ascii="ＭＳ 明朝" w:eastAsia="ＭＳ 明朝" w:hAnsi="ＭＳ 明朝"/>
          <w:sz w:val="18"/>
          <w:szCs w:val="18"/>
        </w:rPr>
        <w:t xml:space="preserve">３　本書は労働者を通じて相手方に交付し、三者が各１通を保有します。</w:t>
      </w:r>
    </w:p>
    <w:p>
      <w:pPr>
        <w:spacing w:after="0" w:before="0" w:line="250" w:lineRule="auto"/>
      </w:pPr>
      <w:r>
        <w:rPr>
          <w:rFonts w:ascii="ＭＳ 明朝" w:eastAsia="ＭＳ 明朝" w:hAnsi="ＭＳ 明朝"/>
          <w:sz w:val="18"/>
          <w:szCs w:val="18"/>
        </w:rPr>
        <w:t xml:space="preserve">４　上限を変更するときは、あらかじめ労働者を通じて相手方に通知します。変更があり得る旨をあらかじめ留保しておくことが望ましいとされています（同 第５の４(2)）。</w:t>
      </w:r>
    </w:p>
    <w:p>
      <w:pPr>
        <w:spacing w:after="0" w:before="0" w:line="300" w:lineRule="auto"/>
      </w:pPr>
      <w:r>
        <w:rPr>
          <w:rFonts w:ascii="ＭＳ 明朝" w:eastAsia="ＭＳ 明朝" w:hAnsi="ＭＳ 明朝"/>
          <w:sz w:val="21"/>
          <w:szCs w:val="21"/>
        </w:rPr>
        <w:t xml:space="preserve"/>
      </w:r>
    </w:p>
    <w:p>
      <w:pPr>
        <w:spacing w:after="0" w:before="0" w:line="300" w:lineRule="auto"/>
      </w:pPr>
      <w:r>
        <w:rPr>
          <w:rFonts w:ascii="ＭＳ ゴシック" w:eastAsia="ＭＳ ゴシック" w:hAnsi="ＭＳ ゴシック"/>
          <w:sz w:val="19"/>
          <w:szCs w:val="19"/>
        </w:rPr>
        <w:t xml:space="preserve">〔 注 意 〕</w:t>
      </w:r>
    </w:p>
    <w:p>
      <w:pPr>
        <w:spacing w:after="0" w:before="0" w:line="240" w:lineRule="auto"/>
      </w:pPr>
      <w:r>
        <w:rPr>
          <w:rFonts w:ascii="ＭＳ 明朝" w:eastAsia="ＭＳ 明朝" w:hAnsi="ＭＳ 明朝"/>
          <w:sz w:val="17"/>
          <w:szCs w:val="17"/>
        </w:rPr>
        <w:t xml:space="preserve">通算されるのは法定労働時間（労基法第３２条・第４０条）及び時間外労働と休日労働の合計で単月１００時間未満・複数月平均８０時間以内の要件（第３６条第６項第２号・第３号）です。休憩（第３４条）・休日（第３５条）・年次有給休暇（第３９条）は通算されません。３６協定の限度時間（第３６条第４項）及び特別条項の年の上限（同第５項）は、それぞれの事業場ごとに定めます（同通達 第１の３）。</w:t>
      </w:r>
    </w:p>
    <w:sectPr>
      <w:pgSz w:w="11906" w:h="16838" w:orient="portrait"/>
      <w:pgMar w:top="1418" w:right="1417" w:bottom="1418"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2026-09-28T04:40:12.209Z</dcterms:created>
  <dcterms:modified xsi:type="dcterms:W3CDTF">2026-09-28T04:40:12.209Z</dcterms:modified>
</cp:coreProperties>
</file>

<file path=docProps/custom.xml><?xml version="1.0" encoding="utf-8"?>
<Properties xmlns="http://schemas.openxmlformats.org/officeDocument/2006/custom-properties" xmlns:vt="http://schemas.openxmlformats.org/officeDocument/2006/docPropsVTypes"/>
</file>