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1193" w14:textId="18C49195" w:rsidR="00CF165E" w:rsidRPr="00CF165E" w:rsidRDefault="00CF165E" w:rsidP="00CF165E">
      <w:pPr>
        <w:spacing w:line="480" w:lineRule="auto"/>
        <w:rPr>
          <w:rFonts w:cstheme="minorHAnsi"/>
          <w:b/>
          <w:sz w:val="24"/>
          <w:szCs w:val="24"/>
        </w:rPr>
      </w:pPr>
      <w:r w:rsidRPr="00CF165E">
        <w:rPr>
          <w:rFonts w:cstheme="minorHAnsi"/>
          <w:b/>
          <w:sz w:val="24"/>
          <w:szCs w:val="24"/>
        </w:rPr>
        <w:t>Surgical Approach</w:t>
      </w:r>
      <w:r w:rsidR="001661ED">
        <w:rPr>
          <w:rFonts w:cstheme="minorHAnsi"/>
          <w:b/>
          <w:sz w:val="24"/>
          <w:szCs w:val="24"/>
        </w:rPr>
        <w:t>es</w:t>
      </w:r>
      <w:r w:rsidRPr="00CF165E">
        <w:rPr>
          <w:rFonts w:cstheme="minorHAnsi"/>
          <w:b/>
          <w:sz w:val="24"/>
          <w:szCs w:val="24"/>
        </w:rPr>
        <w:t xml:space="preserve"> in Myasthenia Gravis: </w:t>
      </w:r>
      <w:proofErr w:type="gramStart"/>
      <w:r w:rsidRPr="00CF165E">
        <w:rPr>
          <w:rFonts w:cstheme="minorHAnsi"/>
          <w:b/>
          <w:sz w:val="24"/>
          <w:szCs w:val="24"/>
        </w:rPr>
        <w:t>a</w:t>
      </w:r>
      <w:proofErr w:type="gramEnd"/>
      <w:r w:rsidRPr="00CF165E">
        <w:rPr>
          <w:rFonts w:cstheme="minorHAnsi"/>
          <w:b/>
          <w:sz w:val="24"/>
          <w:szCs w:val="24"/>
        </w:rPr>
        <w:t xml:space="preserve"> Systematic Review and Meta-analysis</w:t>
      </w:r>
    </w:p>
    <w:p w14:paraId="1A781F7A" w14:textId="4811C071" w:rsidR="00CF165E" w:rsidRPr="00CF165E" w:rsidRDefault="00CF165E" w:rsidP="00CF165E">
      <w:pPr>
        <w:spacing w:line="480" w:lineRule="auto"/>
        <w:rPr>
          <w:rFonts w:cstheme="minorHAnsi"/>
          <w:bCs/>
          <w:sz w:val="24"/>
          <w:szCs w:val="24"/>
        </w:rPr>
      </w:pPr>
      <w:r w:rsidRPr="00CF165E">
        <w:rPr>
          <w:rFonts w:cstheme="minorHAnsi"/>
          <w:bCs/>
          <w:sz w:val="24"/>
          <w:szCs w:val="24"/>
        </w:rPr>
        <w:t>Paola Solis- Pazmino</w:t>
      </w:r>
      <w:r w:rsidR="00911990">
        <w:rPr>
          <w:rFonts w:cstheme="minorHAnsi"/>
          <w:bCs/>
          <w:sz w:val="24"/>
          <w:szCs w:val="24"/>
        </w:rPr>
        <w:t xml:space="preserve"> MD</w:t>
      </w:r>
      <w:r w:rsidRPr="00CF165E">
        <w:rPr>
          <w:rFonts w:cstheme="minorHAnsi"/>
          <w:bCs/>
          <w:sz w:val="24"/>
          <w:szCs w:val="24"/>
          <w:vertAlign w:val="superscript"/>
        </w:rPr>
        <w:t>1,2</w:t>
      </w:r>
      <w:r w:rsidRPr="00CF165E">
        <w:rPr>
          <w:rFonts w:cstheme="minorHAnsi"/>
          <w:bCs/>
          <w:sz w:val="24"/>
          <w:szCs w:val="24"/>
        </w:rPr>
        <w:t xml:space="preserve">, Ioana </w:t>
      </w:r>
      <w:proofErr w:type="spellStart"/>
      <w:r w:rsidRPr="00CF165E">
        <w:rPr>
          <w:rFonts w:cstheme="minorHAnsi"/>
          <w:bCs/>
          <w:sz w:val="24"/>
          <w:szCs w:val="24"/>
        </w:rPr>
        <w:t>Baiu</w:t>
      </w:r>
      <w:proofErr w:type="spellEnd"/>
      <w:r w:rsidRPr="00CF165E">
        <w:rPr>
          <w:rFonts w:cstheme="minorHAnsi"/>
          <w:bCs/>
          <w:sz w:val="24"/>
          <w:szCs w:val="24"/>
        </w:rPr>
        <w:t xml:space="preserve"> MD MPH</w:t>
      </w:r>
      <w:r w:rsidRPr="00CF165E">
        <w:rPr>
          <w:rFonts w:cstheme="minorHAnsi"/>
          <w:bCs/>
          <w:sz w:val="24"/>
          <w:szCs w:val="24"/>
          <w:vertAlign w:val="superscript"/>
        </w:rPr>
        <w:t>3</w:t>
      </w:r>
      <w:r w:rsidRPr="00CF165E">
        <w:rPr>
          <w:rFonts w:cstheme="minorHAnsi"/>
          <w:bCs/>
          <w:sz w:val="24"/>
          <w:szCs w:val="24"/>
        </w:rPr>
        <w:t>, Eddy Lincango-Naranjo</w:t>
      </w:r>
      <w:r w:rsidRPr="00CF165E">
        <w:rPr>
          <w:rFonts w:cstheme="minorHAnsi"/>
          <w:bCs/>
          <w:sz w:val="24"/>
          <w:szCs w:val="24"/>
          <w:vertAlign w:val="superscript"/>
        </w:rPr>
        <w:t>2,4</w:t>
      </w:r>
      <w:r w:rsidRPr="00CF165E">
        <w:rPr>
          <w:rFonts w:cstheme="minorHAnsi"/>
          <w:bCs/>
          <w:sz w:val="24"/>
          <w:szCs w:val="24"/>
        </w:rPr>
        <w:t>, Winston Trope</w:t>
      </w:r>
      <w:r w:rsidR="003A7DDF">
        <w:rPr>
          <w:rFonts w:cstheme="minorHAnsi"/>
          <w:bCs/>
          <w:sz w:val="24"/>
          <w:szCs w:val="24"/>
          <w:vertAlign w:val="superscript"/>
        </w:rPr>
        <w:t>3</w:t>
      </w:r>
      <w:r w:rsidRPr="00CF165E">
        <w:rPr>
          <w:rFonts w:cstheme="minorHAnsi"/>
          <w:bCs/>
          <w:sz w:val="24"/>
          <w:szCs w:val="24"/>
        </w:rPr>
        <w:t>, Oscar Ponce</w:t>
      </w:r>
      <w:r w:rsidR="00911990">
        <w:rPr>
          <w:rFonts w:cstheme="minorHAnsi"/>
          <w:bCs/>
          <w:sz w:val="24"/>
          <w:szCs w:val="24"/>
        </w:rPr>
        <w:t xml:space="preserve"> MD</w:t>
      </w:r>
      <w:r w:rsidR="001661ED">
        <w:rPr>
          <w:rFonts w:cstheme="minorHAnsi"/>
          <w:bCs/>
          <w:sz w:val="24"/>
          <w:szCs w:val="24"/>
          <w:vertAlign w:val="superscript"/>
        </w:rPr>
        <w:t>2,5</w:t>
      </w:r>
      <w:r w:rsidRPr="00CF165E">
        <w:rPr>
          <w:rFonts w:cstheme="minorHAnsi"/>
          <w:bCs/>
          <w:sz w:val="24"/>
          <w:szCs w:val="24"/>
        </w:rPr>
        <w:t xml:space="preserve">, Joseph B </w:t>
      </w:r>
      <w:proofErr w:type="spellStart"/>
      <w:r w:rsidRPr="00CF165E">
        <w:rPr>
          <w:rFonts w:cstheme="minorHAnsi"/>
          <w:bCs/>
          <w:sz w:val="24"/>
          <w:szCs w:val="24"/>
        </w:rPr>
        <w:t>Shrager</w:t>
      </w:r>
      <w:proofErr w:type="spellEnd"/>
      <w:r w:rsidRPr="00CF165E">
        <w:rPr>
          <w:rFonts w:cstheme="minorHAnsi"/>
          <w:bCs/>
          <w:sz w:val="24"/>
          <w:szCs w:val="24"/>
        </w:rPr>
        <w:t xml:space="preserve"> MD</w:t>
      </w:r>
      <w:r w:rsidR="003A7DDF">
        <w:rPr>
          <w:rFonts w:cstheme="minorHAnsi"/>
          <w:bCs/>
          <w:sz w:val="24"/>
          <w:szCs w:val="24"/>
          <w:vertAlign w:val="superscript"/>
        </w:rPr>
        <w:t>3</w:t>
      </w:r>
    </w:p>
    <w:p w14:paraId="0D5C5487" w14:textId="570207C6" w:rsidR="00CF165E" w:rsidRPr="00CF165E" w:rsidRDefault="00CF165E" w:rsidP="00CF165E">
      <w:pPr>
        <w:spacing w:line="480" w:lineRule="auto"/>
        <w:rPr>
          <w:rFonts w:cstheme="minorHAnsi"/>
          <w:bCs/>
          <w:sz w:val="24"/>
          <w:szCs w:val="24"/>
        </w:rPr>
      </w:pPr>
      <w:r>
        <w:rPr>
          <w:rFonts w:cstheme="minorHAnsi"/>
          <w:bCs/>
          <w:sz w:val="24"/>
          <w:szCs w:val="24"/>
        </w:rPr>
        <w:t>Affiliations:</w:t>
      </w:r>
    </w:p>
    <w:p w14:paraId="2A238447" w14:textId="77777777"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1</w:t>
      </w:r>
      <w:r w:rsidRPr="00CF165E">
        <w:rPr>
          <w:rFonts w:cstheme="minorHAnsi"/>
          <w:bCs/>
          <w:sz w:val="24"/>
          <w:szCs w:val="24"/>
        </w:rPr>
        <w:t xml:space="preserve"> Department of Otolaryngology–Head and Neck Surgery, School of Medicine, Stanford University, Stanford, California, USA </w:t>
      </w:r>
    </w:p>
    <w:p w14:paraId="2F966B57" w14:textId="77777777"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 xml:space="preserve">2 </w:t>
      </w:r>
      <w:r w:rsidRPr="00CF165E">
        <w:rPr>
          <w:rFonts w:cstheme="minorHAnsi"/>
          <w:bCs/>
          <w:sz w:val="24"/>
          <w:szCs w:val="24"/>
        </w:rPr>
        <w:t>Knowledge and Evaluation Research Unit, Mayo Clinic, Rochester, Minnesota, USA</w:t>
      </w:r>
    </w:p>
    <w:p w14:paraId="38A0B063" w14:textId="7A6AA246"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3</w:t>
      </w:r>
      <w:r w:rsidRPr="00CF165E">
        <w:rPr>
          <w:rFonts w:cstheme="minorHAnsi"/>
          <w:bCs/>
          <w:sz w:val="24"/>
          <w:szCs w:val="24"/>
        </w:rPr>
        <w:t xml:space="preserve"> </w:t>
      </w:r>
      <w:r w:rsidR="003A7DDF" w:rsidRPr="00CF165E">
        <w:rPr>
          <w:rFonts w:cstheme="minorHAnsi"/>
          <w:bCs/>
          <w:sz w:val="24"/>
          <w:szCs w:val="24"/>
        </w:rPr>
        <w:t>Department of Cardiothoracic Surgery, Division of Thoracic Surgery, Stanford Hospital and Clinics, Stanford, California.</w:t>
      </w:r>
    </w:p>
    <w:p w14:paraId="079BA042" w14:textId="77777777" w:rsidR="00CF165E" w:rsidRPr="00E43D5D" w:rsidRDefault="00CF165E" w:rsidP="00CF165E">
      <w:pPr>
        <w:spacing w:line="480" w:lineRule="auto"/>
        <w:rPr>
          <w:rFonts w:cstheme="minorHAnsi"/>
          <w:bCs/>
          <w:sz w:val="24"/>
          <w:szCs w:val="24"/>
          <w:lang w:val="es-EC"/>
        </w:rPr>
      </w:pPr>
      <w:r w:rsidRPr="00E43D5D">
        <w:rPr>
          <w:rFonts w:cstheme="minorHAnsi"/>
          <w:bCs/>
          <w:sz w:val="24"/>
          <w:szCs w:val="24"/>
          <w:vertAlign w:val="superscript"/>
          <w:lang w:val="es-EC"/>
        </w:rPr>
        <w:t>4</w:t>
      </w:r>
      <w:r w:rsidRPr="00E43D5D">
        <w:rPr>
          <w:rFonts w:cstheme="minorHAnsi"/>
          <w:bCs/>
          <w:sz w:val="24"/>
          <w:szCs w:val="24"/>
          <w:lang w:val="es-EC"/>
        </w:rPr>
        <w:t xml:space="preserve"> </w:t>
      </w:r>
      <w:proofErr w:type="gramStart"/>
      <w:r w:rsidRPr="00E43D5D">
        <w:rPr>
          <w:rFonts w:cstheme="minorHAnsi"/>
          <w:bCs/>
          <w:sz w:val="24"/>
          <w:szCs w:val="24"/>
          <w:lang w:val="es-EC"/>
        </w:rPr>
        <w:t>Universidad</w:t>
      </w:r>
      <w:proofErr w:type="gramEnd"/>
      <w:r w:rsidRPr="00E43D5D">
        <w:rPr>
          <w:rFonts w:cstheme="minorHAnsi"/>
          <w:bCs/>
          <w:sz w:val="24"/>
          <w:szCs w:val="24"/>
          <w:lang w:val="es-EC"/>
        </w:rPr>
        <w:t xml:space="preserve"> Central, Medical </w:t>
      </w:r>
      <w:proofErr w:type="spellStart"/>
      <w:r w:rsidRPr="00E43D5D">
        <w:rPr>
          <w:rFonts w:cstheme="minorHAnsi"/>
          <w:bCs/>
          <w:sz w:val="24"/>
          <w:szCs w:val="24"/>
          <w:lang w:val="es-EC"/>
        </w:rPr>
        <w:t>School</w:t>
      </w:r>
      <w:proofErr w:type="spellEnd"/>
      <w:r w:rsidRPr="00E43D5D">
        <w:rPr>
          <w:rFonts w:cstheme="minorHAnsi"/>
          <w:bCs/>
          <w:sz w:val="24"/>
          <w:szCs w:val="24"/>
          <w:lang w:val="es-EC"/>
        </w:rPr>
        <w:t>, Quito-Ecuador</w:t>
      </w:r>
    </w:p>
    <w:p w14:paraId="01620A1C" w14:textId="2794CFA7" w:rsidR="00CF165E" w:rsidRPr="00E43D5D" w:rsidRDefault="00CF165E" w:rsidP="00CF165E">
      <w:pPr>
        <w:spacing w:line="480" w:lineRule="auto"/>
        <w:rPr>
          <w:rFonts w:cstheme="minorHAnsi"/>
          <w:bCs/>
          <w:sz w:val="24"/>
          <w:szCs w:val="24"/>
          <w:lang w:val="es-EC"/>
        </w:rPr>
      </w:pPr>
      <w:r w:rsidRPr="00E43D5D">
        <w:rPr>
          <w:rFonts w:cstheme="minorHAnsi"/>
          <w:bCs/>
          <w:sz w:val="24"/>
          <w:szCs w:val="24"/>
          <w:vertAlign w:val="superscript"/>
          <w:lang w:val="es-EC"/>
        </w:rPr>
        <w:t>5</w:t>
      </w:r>
      <w:r w:rsidRPr="00E43D5D">
        <w:rPr>
          <w:rFonts w:cstheme="minorHAnsi"/>
          <w:bCs/>
          <w:sz w:val="24"/>
          <w:szCs w:val="24"/>
          <w:lang w:val="es-EC"/>
        </w:rPr>
        <w:t xml:space="preserve"> </w:t>
      </w:r>
      <w:proofErr w:type="gramStart"/>
      <w:r w:rsidRPr="00E43D5D">
        <w:rPr>
          <w:rFonts w:cstheme="minorHAnsi"/>
          <w:bCs/>
          <w:sz w:val="24"/>
          <w:szCs w:val="24"/>
          <w:lang w:val="es-EC"/>
        </w:rPr>
        <w:t>Unidad</w:t>
      </w:r>
      <w:proofErr w:type="gramEnd"/>
      <w:r w:rsidRPr="00E43D5D">
        <w:rPr>
          <w:rFonts w:cstheme="minorHAnsi"/>
          <w:bCs/>
          <w:sz w:val="24"/>
          <w:szCs w:val="24"/>
          <w:lang w:val="es-EC"/>
        </w:rPr>
        <w:t xml:space="preserve"> de Conocimiento y Evidencia, Universidad Peruana Cayetano Heredia, Lima, Perú</w:t>
      </w:r>
    </w:p>
    <w:p w14:paraId="5BD2BFEB" w14:textId="77777777" w:rsidR="00AB37AC" w:rsidRDefault="00AB37AC" w:rsidP="00D9510C">
      <w:pPr>
        <w:spacing w:line="480" w:lineRule="auto"/>
        <w:rPr>
          <w:rFonts w:cstheme="minorHAnsi"/>
          <w:b/>
          <w:sz w:val="24"/>
          <w:szCs w:val="24"/>
        </w:rPr>
      </w:pPr>
      <w:r>
        <w:rPr>
          <w:rFonts w:cstheme="minorHAnsi"/>
          <w:b/>
          <w:sz w:val="24"/>
          <w:szCs w:val="24"/>
        </w:rPr>
        <w:t xml:space="preserve">Keywords: </w:t>
      </w:r>
    </w:p>
    <w:p w14:paraId="78006767" w14:textId="554FAC74" w:rsidR="006205B8" w:rsidRDefault="006205B8" w:rsidP="00D9510C">
      <w:pPr>
        <w:spacing w:line="480" w:lineRule="auto"/>
        <w:rPr>
          <w:rFonts w:cstheme="minorHAnsi"/>
          <w:b/>
          <w:bCs/>
          <w:sz w:val="24"/>
          <w:szCs w:val="24"/>
        </w:rPr>
      </w:pPr>
    </w:p>
    <w:p w14:paraId="6C97D041" w14:textId="1834E6F4" w:rsidR="006205B8" w:rsidRDefault="006205B8" w:rsidP="00D9510C">
      <w:pPr>
        <w:spacing w:line="480" w:lineRule="auto"/>
        <w:rPr>
          <w:rFonts w:cstheme="minorHAnsi"/>
          <w:b/>
          <w:bCs/>
          <w:sz w:val="24"/>
          <w:szCs w:val="24"/>
        </w:rPr>
      </w:pPr>
    </w:p>
    <w:p w14:paraId="408CEA78" w14:textId="3ECC4727" w:rsidR="006205B8" w:rsidRDefault="006205B8" w:rsidP="00D9510C">
      <w:pPr>
        <w:spacing w:line="480" w:lineRule="auto"/>
        <w:rPr>
          <w:rFonts w:cstheme="minorHAnsi"/>
          <w:b/>
          <w:bCs/>
          <w:sz w:val="24"/>
          <w:szCs w:val="24"/>
        </w:rPr>
      </w:pPr>
    </w:p>
    <w:p w14:paraId="3DD27FC8" w14:textId="1D2AD366" w:rsidR="006205B8" w:rsidRDefault="006205B8" w:rsidP="00D9510C">
      <w:pPr>
        <w:spacing w:line="480" w:lineRule="auto"/>
        <w:rPr>
          <w:rFonts w:cstheme="minorHAnsi"/>
          <w:b/>
          <w:bCs/>
          <w:sz w:val="24"/>
          <w:szCs w:val="24"/>
        </w:rPr>
      </w:pPr>
    </w:p>
    <w:p w14:paraId="0EFCA329" w14:textId="05218A3C" w:rsidR="006205B8" w:rsidRDefault="00AB37AC" w:rsidP="00D9510C">
      <w:pPr>
        <w:spacing w:line="480" w:lineRule="auto"/>
        <w:rPr>
          <w:rFonts w:cstheme="minorHAnsi"/>
          <w:b/>
          <w:bCs/>
          <w:sz w:val="24"/>
          <w:szCs w:val="24"/>
        </w:rPr>
      </w:pPr>
      <w:r>
        <w:rPr>
          <w:rFonts w:cstheme="minorHAnsi"/>
          <w:b/>
          <w:bCs/>
          <w:sz w:val="24"/>
          <w:szCs w:val="24"/>
        </w:rPr>
        <w:t>Abstract</w:t>
      </w:r>
    </w:p>
    <w:p w14:paraId="205ED4A5" w14:textId="06EB2780" w:rsidR="006205B8" w:rsidRDefault="00AB37AC" w:rsidP="00D9510C">
      <w:pPr>
        <w:spacing w:line="480" w:lineRule="auto"/>
        <w:rPr>
          <w:rFonts w:cstheme="minorHAnsi"/>
          <w:b/>
          <w:bCs/>
          <w:sz w:val="24"/>
          <w:szCs w:val="24"/>
        </w:rPr>
      </w:pPr>
      <w:r>
        <w:rPr>
          <w:rFonts w:cstheme="minorHAnsi"/>
          <w:b/>
          <w:bCs/>
          <w:sz w:val="24"/>
          <w:szCs w:val="24"/>
        </w:rPr>
        <w:lastRenderedPageBreak/>
        <w:t xml:space="preserve">Background: </w:t>
      </w:r>
      <w:r w:rsidRPr="00AB37AC">
        <w:rPr>
          <w:rFonts w:cstheme="minorHAnsi"/>
          <w:sz w:val="24"/>
          <w:szCs w:val="24"/>
        </w:rPr>
        <w:t>Complete resection of the thymus has been shown to be beneficial in patients with myasthenia gravis (MG), but the optimal surgical approach to achieve stable remission has not been fully elucidated. This meta-analysis seeks to clarify which operative technique confers the best chance of stable remission in patients with MG.</w:t>
      </w:r>
    </w:p>
    <w:p w14:paraId="05442C35" w14:textId="549119B1" w:rsidR="006205B8" w:rsidRDefault="006205B8" w:rsidP="00D9510C">
      <w:pPr>
        <w:spacing w:line="480" w:lineRule="auto"/>
        <w:rPr>
          <w:rFonts w:cstheme="minorHAnsi"/>
          <w:b/>
          <w:bCs/>
          <w:sz w:val="24"/>
          <w:szCs w:val="24"/>
        </w:rPr>
      </w:pPr>
    </w:p>
    <w:p w14:paraId="5D937909" w14:textId="2256292A" w:rsidR="006205B8" w:rsidRDefault="00AB37AC" w:rsidP="00D9510C">
      <w:pPr>
        <w:spacing w:line="480" w:lineRule="auto"/>
        <w:rPr>
          <w:rFonts w:cstheme="minorHAnsi"/>
          <w:b/>
          <w:bCs/>
          <w:sz w:val="24"/>
          <w:szCs w:val="24"/>
        </w:rPr>
      </w:pPr>
      <w:r>
        <w:rPr>
          <w:rFonts w:cstheme="minorHAnsi"/>
          <w:b/>
          <w:bCs/>
          <w:sz w:val="24"/>
          <w:szCs w:val="24"/>
        </w:rPr>
        <w:t>Methods:</w:t>
      </w:r>
    </w:p>
    <w:p w14:paraId="2D9E10FF" w14:textId="009097DB" w:rsidR="006205B8" w:rsidRDefault="006205B8" w:rsidP="00D9510C">
      <w:pPr>
        <w:spacing w:line="480" w:lineRule="auto"/>
        <w:rPr>
          <w:rFonts w:cstheme="minorHAnsi"/>
          <w:b/>
          <w:bCs/>
          <w:sz w:val="24"/>
          <w:szCs w:val="24"/>
        </w:rPr>
      </w:pPr>
    </w:p>
    <w:p w14:paraId="461E4CA1" w14:textId="5E45B797" w:rsidR="006205B8" w:rsidRDefault="006205B8" w:rsidP="00D9510C">
      <w:pPr>
        <w:spacing w:line="480" w:lineRule="auto"/>
        <w:rPr>
          <w:rFonts w:cstheme="minorHAnsi"/>
          <w:b/>
          <w:bCs/>
          <w:sz w:val="24"/>
          <w:szCs w:val="24"/>
        </w:rPr>
      </w:pPr>
    </w:p>
    <w:p w14:paraId="33A10894" w14:textId="00B0AF4A" w:rsidR="006205B8" w:rsidRDefault="00AB37AC" w:rsidP="00D9510C">
      <w:pPr>
        <w:spacing w:line="480" w:lineRule="auto"/>
        <w:rPr>
          <w:rFonts w:cstheme="minorHAnsi"/>
          <w:b/>
          <w:bCs/>
          <w:sz w:val="24"/>
          <w:szCs w:val="24"/>
        </w:rPr>
      </w:pPr>
      <w:r>
        <w:rPr>
          <w:rFonts w:cstheme="minorHAnsi"/>
          <w:b/>
          <w:bCs/>
          <w:sz w:val="24"/>
          <w:szCs w:val="24"/>
        </w:rPr>
        <w:t>Results:</w:t>
      </w:r>
    </w:p>
    <w:p w14:paraId="2412CD8E" w14:textId="06A65F34" w:rsidR="006205B8" w:rsidRDefault="006205B8" w:rsidP="00D9510C">
      <w:pPr>
        <w:spacing w:line="480" w:lineRule="auto"/>
        <w:rPr>
          <w:rFonts w:cstheme="minorHAnsi"/>
          <w:b/>
          <w:bCs/>
          <w:sz w:val="24"/>
          <w:szCs w:val="24"/>
        </w:rPr>
      </w:pPr>
    </w:p>
    <w:p w14:paraId="379EF860" w14:textId="7C85E440" w:rsidR="006205B8" w:rsidRDefault="006205B8" w:rsidP="00D9510C">
      <w:pPr>
        <w:spacing w:line="480" w:lineRule="auto"/>
        <w:rPr>
          <w:rFonts w:cstheme="minorHAnsi"/>
          <w:b/>
          <w:bCs/>
          <w:sz w:val="24"/>
          <w:szCs w:val="24"/>
        </w:rPr>
      </w:pPr>
    </w:p>
    <w:p w14:paraId="379277E4" w14:textId="0F2D517B" w:rsidR="006205B8" w:rsidRDefault="006205B8" w:rsidP="00D9510C">
      <w:pPr>
        <w:spacing w:line="480" w:lineRule="auto"/>
        <w:rPr>
          <w:rFonts w:cstheme="minorHAnsi"/>
          <w:b/>
          <w:bCs/>
          <w:sz w:val="24"/>
          <w:szCs w:val="24"/>
        </w:rPr>
      </w:pPr>
    </w:p>
    <w:p w14:paraId="589B8FE8" w14:textId="2D5E3707" w:rsidR="00AB37AC" w:rsidRDefault="00AB37AC" w:rsidP="00D9510C">
      <w:pPr>
        <w:spacing w:line="480" w:lineRule="auto"/>
        <w:rPr>
          <w:rFonts w:cstheme="minorHAnsi"/>
          <w:b/>
          <w:bCs/>
          <w:sz w:val="24"/>
          <w:szCs w:val="24"/>
        </w:rPr>
      </w:pPr>
    </w:p>
    <w:p w14:paraId="1271D4CC" w14:textId="21CDAC74" w:rsidR="00AB37AC" w:rsidRDefault="00AB37AC" w:rsidP="00D9510C">
      <w:pPr>
        <w:spacing w:line="480" w:lineRule="auto"/>
        <w:rPr>
          <w:rFonts w:cstheme="minorHAnsi"/>
          <w:b/>
          <w:bCs/>
          <w:sz w:val="24"/>
          <w:szCs w:val="24"/>
        </w:rPr>
      </w:pPr>
    </w:p>
    <w:p w14:paraId="6A5D90DD" w14:textId="441DCF49" w:rsidR="00AB37AC" w:rsidRDefault="00AB37AC" w:rsidP="00D9510C">
      <w:pPr>
        <w:spacing w:line="480" w:lineRule="auto"/>
        <w:rPr>
          <w:rFonts w:cstheme="minorHAnsi"/>
          <w:b/>
          <w:bCs/>
          <w:sz w:val="24"/>
          <w:szCs w:val="24"/>
        </w:rPr>
      </w:pPr>
      <w:r>
        <w:rPr>
          <w:rFonts w:cstheme="minorHAnsi"/>
          <w:b/>
          <w:bCs/>
          <w:sz w:val="24"/>
          <w:szCs w:val="24"/>
        </w:rPr>
        <w:t>Conclusion:</w:t>
      </w:r>
    </w:p>
    <w:p w14:paraId="46A600BB" w14:textId="3A8E066A" w:rsidR="00A114D7" w:rsidRDefault="00A114D7" w:rsidP="00D9510C">
      <w:pPr>
        <w:spacing w:line="480" w:lineRule="auto"/>
        <w:rPr>
          <w:rFonts w:cstheme="minorHAnsi"/>
          <w:b/>
          <w:bCs/>
          <w:sz w:val="24"/>
          <w:szCs w:val="24"/>
        </w:rPr>
      </w:pPr>
    </w:p>
    <w:p w14:paraId="7598D5F7" w14:textId="606719AE" w:rsidR="00A114D7" w:rsidRDefault="00A114D7" w:rsidP="00D9510C">
      <w:pPr>
        <w:spacing w:line="480" w:lineRule="auto"/>
        <w:rPr>
          <w:rFonts w:cstheme="minorHAnsi"/>
          <w:b/>
          <w:bCs/>
          <w:sz w:val="24"/>
          <w:szCs w:val="24"/>
        </w:rPr>
      </w:pPr>
    </w:p>
    <w:p w14:paraId="6E511BF9" w14:textId="07E8D4AC" w:rsidR="002175D3" w:rsidRDefault="002175D3" w:rsidP="00D9510C">
      <w:pPr>
        <w:spacing w:line="480" w:lineRule="auto"/>
        <w:rPr>
          <w:rFonts w:cstheme="minorHAnsi"/>
          <w:b/>
          <w:bCs/>
          <w:sz w:val="24"/>
          <w:szCs w:val="24"/>
        </w:rPr>
      </w:pPr>
    </w:p>
    <w:p w14:paraId="0A3380F6" w14:textId="70FD17E4" w:rsidR="002175D3" w:rsidRDefault="002175D3" w:rsidP="00D9510C">
      <w:pPr>
        <w:spacing w:line="480" w:lineRule="auto"/>
        <w:rPr>
          <w:rFonts w:cstheme="minorHAnsi"/>
          <w:b/>
          <w:bCs/>
          <w:sz w:val="24"/>
          <w:szCs w:val="24"/>
        </w:rPr>
      </w:pPr>
    </w:p>
    <w:p w14:paraId="388A8BBA" w14:textId="0565337B" w:rsidR="002175D3" w:rsidRDefault="002175D3" w:rsidP="00D9510C">
      <w:pPr>
        <w:spacing w:line="480" w:lineRule="auto"/>
        <w:rPr>
          <w:rFonts w:cstheme="minorHAnsi"/>
          <w:b/>
          <w:bCs/>
          <w:sz w:val="24"/>
          <w:szCs w:val="24"/>
        </w:rPr>
      </w:pPr>
    </w:p>
    <w:p w14:paraId="16749EAC" w14:textId="1E881523" w:rsidR="002175D3" w:rsidRDefault="002175D3" w:rsidP="00D9510C">
      <w:pPr>
        <w:spacing w:line="480" w:lineRule="auto"/>
        <w:rPr>
          <w:rFonts w:cstheme="minorHAnsi"/>
          <w:b/>
          <w:bCs/>
          <w:sz w:val="24"/>
          <w:szCs w:val="24"/>
        </w:rPr>
      </w:pPr>
    </w:p>
    <w:p w14:paraId="659FA77F" w14:textId="42C0E8E2" w:rsidR="002175D3" w:rsidRDefault="002175D3" w:rsidP="00D9510C">
      <w:pPr>
        <w:spacing w:line="480" w:lineRule="auto"/>
        <w:rPr>
          <w:rFonts w:cstheme="minorHAnsi"/>
          <w:b/>
          <w:bCs/>
          <w:sz w:val="24"/>
          <w:szCs w:val="24"/>
        </w:rPr>
      </w:pPr>
    </w:p>
    <w:p w14:paraId="7DB30BC7" w14:textId="05F32E6A" w:rsidR="002175D3" w:rsidRDefault="002175D3" w:rsidP="00D9510C">
      <w:pPr>
        <w:spacing w:line="480" w:lineRule="auto"/>
        <w:rPr>
          <w:rFonts w:cstheme="minorHAnsi"/>
          <w:b/>
          <w:bCs/>
          <w:sz w:val="24"/>
          <w:szCs w:val="24"/>
        </w:rPr>
      </w:pPr>
    </w:p>
    <w:p w14:paraId="5D484F0E" w14:textId="0AC01478" w:rsidR="002175D3" w:rsidRDefault="002175D3" w:rsidP="00D9510C">
      <w:pPr>
        <w:spacing w:line="480" w:lineRule="auto"/>
        <w:rPr>
          <w:rFonts w:cstheme="minorHAnsi"/>
          <w:b/>
          <w:bCs/>
          <w:sz w:val="24"/>
          <w:szCs w:val="24"/>
        </w:rPr>
      </w:pPr>
    </w:p>
    <w:p w14:paraId="05DDFA31" w14:textId="7088E8A6" w:rsidR="002175D3" w:rsidRDefault="002175D3" w:rsidP="00D9510C">
      <w:pPr>
        <w:spacing w:line="480" w:lineRule="auto"/>
        <w:rPr>
          <w:rFonts w:cstheme="minorHAnsi"/>
          <w:b/>
          <w:bCs/>
          <w:sz w:val="24"/>
          <w:szCs w:val="24"/>
        </w:rPr>
      </w:pPr>
    </w:p>
    <w:p w14:paraId="4F521D91" w14:textId="68D59C62" w:rsidR="002175D3" w:rsidRDefault="002175D3" w:rsidP="00D9510C">
      <w:pPr>
        <w:spacing w:line="480" w:lineRule="auto"/>
        <w:rPr>
          <w:rFonts w:cstheme="minorHAnsi"/>
          <w:b/>
          <w:bCs/>
          <w:sz w:val="24"/>
          <w:szCs w:val="24"/>
        </w:rPr>
      </w:pPr>
    </w:p>
    <w:p w14:paraId="65DD494B" w14:textId="709B809A" w:rsidR="002175D3" w:rsidRDefault="002175D3" w:rsidP="00D9510C">
      <w:pPr>
        <w:spacing w:line="480" w:lineRule="auto"/>
        <w:rPr>
          <w:rFonts w:cstheme="minorHAnsi"/>
          <w:b/>
          <w:bCs/>
          <w:sz w:val="24"/>
          <w:szCs w:val="24"/>
        </w:rPr>
      </w:pPr>
    </w:p>
    <w:p w14:paraId="18A1999F" w14:textId="50BB185B" w:rsidR="002175D3" w:rsidRDefault="002175D3" w:rsidP="00D9510C">
      <w:pPr>
        <w:spacing w:line="480" w:lineRule="auto"/>
        <w:rPr>
          <w:rFonts w:cstheme="minorHAnsi"/>
          <w:b/>
          <w:bCs/>
          <w:sz w:val="24"/>
          <w:szCs w:val="24"/>
        </w:rPr>
      </w:pPr>
    </w:p>
    <w:p w14:paraId="34A22B3C" w14:textId="152C1F02" w:rsidR="002175D3" w:rsidRDefault="002175D3" w:rsidP="00D9510C">
      <w:pPr>
        <w:spacing w:line="480" w:lineRule="auto"/>
        <w:rPr>
          <w:rFonts w:cstheme="minorHAnsi"/>
          <w:b/>
          <w:bCs/>
          <w:sz w:val="24"/>
          <w:szCs w:val="24"/>
        </w:rPr>
      </w:pPr>
    </w:p>
    <w:p w14:paraId="58AE3EC8" w14:textId="21D0F0AB" w:rsidR="002175D3" w:rsidRDefault="002175D3" w:rsidP="00D9510C">
      <w:pPr>
        <w:spacing w:line="480" w:lineRule="auto"/>
        <w:rPr>
          <w:rFonts w:cstheme="minorHAnsi"/>
          <w:b/>
          <w:bCs/>
          <w:sz w:val="24"/>
          <w:szCs w:val="24"/>
        </w:rPr>
      </w:pPr>
    </w:p>
    <w:p w14:paraId="67AD8F49" w14:textId="2EF1EB0E" w:rsidR="002175D3" w:rsidRDefault="002175D3" w:rsidP="00D9510C">
      <w:pPr>
        <w:spacing w:line="480" w:lineRule="auto"/>
        <w:rPr>
          <w:rFonts w:cstheme="minorHAnsi"/>
          <w:b/>
          <w:bCs/>
          <w:sz w:val="24"/>
          <w:szCs w:val="24"/>
        </w:rPr>
      </w:pPr>
    </w:p>
    <w:p w14:paraId="11D34A49" w14:textId="7FC69AD8" w:rsidR="002175D3" w:rsidRDefault="002175D3" w:rsidP="00D9510C">
      <w:pPr>
        <w:spacing w:line="480" w:lineRule="auto"/>
        <w:rPr>
          <w:rFonts w:cstheme="minorHAnsi"/>
          <w:b/>
          <w:bCs/>
          <w:sz w:val="24"/>
          <w:szCs w:val="24"/>
        </w:rPr>
      </w:pPr>
    </w:p>
    <w:p w14:paraId="012F58EB" w14:textId="781A097E" w:rsidR="002175D3" w:rsidRDefault="002175D3" w:rsidP="00D9510C">
      <w:pPr>
        <w:spacing w:line="480" w:lineRule="auto"/>
        <w:rPr>
          <w:rFonts w:cstheme="minorHAnsi"/>
          <w:b/>
          <w:bCs/>
          <w:sz w:val="24"/>
          <w:szCs w:val="24"/>
        </w:rPr>
      </w:pPr>
    </w:p>
    <w:p w14:paraId="19EB2422" w14:textId="32DB6FA7" w:rsidR="002175D3" w:rsidRDefault="002175D3" w:rsidP="00D9510C">
      <w:pPr>
        <w:spacing w:line="480" w:lineRule="auto"/>
        <w:rPr>
          <w:rFonts w:cstheme="minorHAnsi"/>
          <w:b/>
          <w:bCs/>
          <w:sz w:val="24"/>
          <w:szCs w:val="24"/>
        </w:rPr>
      </w:pPr>
    </w:p>
    <w:p w14:paraId="2757269F" w14:textId="77777777" w:rsidR="006D60B1" w:rsidRDefault="006D60B1" w:rsidP="00D9510C">
      <w:pPr>
        <w:spacing w:line="480" w:lineRule="auto"/>
        <w:rPr>
          <w:rFonts w:cstheme="minorHAnsi"/>
          <w:b/>
          <w:bCs/>
          <w:sz w:val="24"/>
          <w:szCs w:val="24"/>
        </w:rPr>
      </w:pPr>
    </w:p>
    <w:p w14:paraId="3EA8B3B2" w14:textId="1E28264B" w:rsidR="002175D3" w:rsidRDefault="002175D3" w:rsidP="00D9510C">
      <w:pPr>
        <w:spacing w:line="480" w:lineRule="auto"/>
        <w:rPr>
          <w:rFonts w:cstheme="minorHAnsi"/>
          <w:b/>
          <w:bCs/>
          <w:sz w:val="24"/>
          <w:szCs w:val="24"/>
        </w:rPr>
      </w:pPr>
      <w:r>
        <w:rPr>
          <w:rFonts w:cstheme="minorHAnsi"/>
          <w:b/>
          <w:bCs/>
          <w:sz w:val="24"/>
          <w:szCs w:val="24"/>
        </w:rPr>
        <w:t>Introduction</w:t>
      </w:r>
    </w:p>
    <w:p w14:paraId="69930380" w14:textId="7240EB75" w:rsidR="002175D3" w:rsidRPr="002175D3" w:rsidRDefault="002175D3" w:rsidP="002175D3">
      <w:pPr>
        <w:spacing w:line="480" w:lineRule="auto"/>
        <w:rPr>
          <w:rFonts w:cstheme="minorHAnsi"/>
          <w:sz w:val="24"/>
          <w:szCs w:val="24"/>
        </w:rPr>
      </w:pPr>
      <w:r>
        <w:rPr>
          <w:rFonts w:cstheme="minorHAnsi"/>
          <w:b/>
          <w:bCs/>
          <w:sz w:val="24"/>
          <w:szCs w:val="24"/>
        </w:rPr>
        <w:tab/>
      </w:r>
      <w:r w:rsidRPr="002175D3">
        <w:rPr>
          <w:rFonts w:cstheme="minorHAnsi"/>
          <w:sz w:val="24"/>
          <w:szCs w:val="24"/>
        </w:rPr>
        <w:t xml:space="preserve">Myasthenia gravis is an autoimmune disease with a prevalence of 150 to 250 cases per million1. It is most commonly treated most commonly with acetylcholinesterase inhibitors, steroids, non-steroid immunosuppressive drug therapy, plasma exchange, and intravenous immunoglobulin. Approximately 21% of patients with MG have a thymoma, but 20-47% patients with thymoma have MG2,3.  The thymus induces acetylcholine receptor antibody production resulting in generalized or localized weakness4.  Thymectomy in patients with MG has been proposed as an effective therapy but has not until recently been shown to be beneficial5.  Thymectomy for nonthymomatous myasthenia gravis (MG) was first reported in 1941 by Blalock et al. with a success rate of 50% remission of </w:t>
      </w:r>
      <w:proofErr w:type="gramStart"/>
      <w:r w:rsidRPr="002175D3">
        <w:rPr>
          <w:rFonts w:cstheme="minorHAnsi"/>
          <w:sz w:val="24"/>
          <w:szCs w:val="24"/>
        </w:rPr>
        <w:t>disease, and</w:t>
      </w:r>
      <w:proofErr w:type="gramEnd"/>
      <w:r w:rsidRPr="002175D3">
        <w:rPr>
          <w:rFonts w:cstheme="minorHAnsi"/>
          <w:sz w:val="24"/>
          <w:szCs w:val="24"/>
        </w:rPr>
        <w:t xml:space="preserve"> has since then been used as a surgical option for patients with medically refractory disease6.   A Cochrane review in 2013 was not able to identify any rigorous randomized controlled trials confirming the benefit of thymectomy7.   Since then, multiple studies have been published investigating the benefit of thymectomy as a treatment option for long-term remission of MG, showing that 40-90% of patients can achieve remission with complete thymic resection compared to only 10-20% of those on medical therapy only8.  The largest multicenter trial – Thymectomy Trial in Non-Thymomatous Myasthenia Gravis Patients Receiving Prednisone (MGTX) – proved superiority of thymectomy and prednisone compared to prednisone alone at 3 and 5-year post-surgery9,10.</w:t>
      </w:r>
    </w:p>
    <w:p w14:paraId="68D7AE22" w14:textId="4618914F" w:rsidR="009C35A0" w:rsidRDefault="002175D3" w:rsidP="002175D3">
      <w:pPr>
        <w:spacing w:line="480" w:lineRule="auto"/>
        <w:rPr>
          <w:rFonts w:cstheme="minorHAnsi"/>
          <w:sz w:val="24"/>
          <w:szCs w:val="24"/>
        </w:rPr>
      </w:pPr>
      <w:r w:rsidRPr="002175D3">
        <w:rPr>
          <w:rFonts w:cstheme="minorHAnsi"/>
          <w:sz w:val="24"/>
          <w:szCs w:val="24"/>
        </w:rPr>
        <w:t xml:space="preserve">The surgical approach for thymectomy varies widely and the techniques described in the literature include extended transcervical thymectomy (TCT), thoracoscopic thymectomy (VATS or robotic), extended trans-sternal thymectomy, transcervical and transsternal maximal, subxiphoid thymectomy (VATS or robotic). Nevertheless, the surgical approach to thymectomy remains controversial.  Minimally invasive techniques have been studied retrospectively </w:t>
      </w:r>
      <w:r w:rsidR="009C35A0" w:rsidRPr="002175D3">
        <w:rPr>
          <w:rFonts w:cstheme="minorHAnsi"/>
          <w:sz w:val="24"/>
          <w:szCs w:val="24"/>
        </w:rPr>
        <w:t>against open</w:t>
      </w:r>
      <w:r w:rsidRPr="002175D3">
        <w:rPr>
          <w:rFonts w:cstheme="minorHAnsi"/>
          <w:sz w:val="24"/>
          <w:szCs w:val="24"/>
        </w:rPr>
        <w:t xml:space="preserve"> approaches demonstrating a stable safety profile and feasibility as well as equivalent oncologic outcomes in patients with thymic malignancies11,12,13,14,15,16,17,18.  </w:t>
      </w:r>
    </w:p>
    <w:p w14:paraId="4B38BC97" w14:textId="585C528C" w:rsidR="002175D3" w:rsidRDefault="002175D3" w:rsidP="009C35A0">
      <w:pPr>
        <w:spacing w:line="480" w:lineRule="auto"/>
        <w:ind w:firstLine="720"/>
        <w:rPr>
          <w:rFonts w:cstheme="minorHAnsi"/>
          <w:b/>
          <w:bCs/>
          <w:sz w:val="24"/>
          <w:szCs w:val="24"/>
        </w:rPr>
      </w:pPr>
      <w:r w:rsidRPr="002175D3">
        <w:rPr>
          <w:rFonts w:cstheme="minorHAnsi"/>
          <w:sz w:val="24"/>
          <w:szCs w:val="24"/>
        </w:rPr>
        <w:t>In this study, we aimed to clarify the effectiveness of surgical approaches for patients with myasthenia gravis focusing on long-term outcomes and complete stable remission.  Specifically, we performed an extensive literature search and meta-analysis of the existing data in order to identify the optimal surgical approach for thymectomy in patients with myasthenia gravis that would have an adequate safety profile and adequate remission</w:t>
      </w:r>
      <w:r w:rsidRPr="002175D3">
        <w:rPr>
          <w:rFonts w:cstheme="minorHAnsi"/>
          <w:b/>
          <w:bCs/>
          <w:sz w:val="24"/>
          <w:szCs w:val="24"/>
        </w:rPr>
        <w:t>.</w:t>
      </w:r>
    </w:p>
    <w:p w14:paraId="384460FF" w14:textId="7132730B" w:rsidR="002175D3" w:rsidRDefault="00251508" w:rsidP="00D9510C">
      <w:pPr>
        <w:spacing w:line="480" w:lineRule="auto"/>
        <w:rPr>
          <w:rFonts w:cstheme="minorHAnsi"/>
          <w:b/>
          <w:bCs/>
          <w:sz w:val="24"/>
          <w:szCs w:val="24"/>
        </w:rPr>
      </w:pPr>
      <w:r>
        <w:rPr>
          <w:rFonts w:cstheme="minorHAnsi"/>
          <w:b/>
          <w:bCs/>
          <w:sz w:val="24"/>
          <w:szCs w:val="24"/>
        </w:rPr>
        <w:t>Methods</w:t>
      </w:r>
    </w:p>
    <w:p w14:paraId="3774622F" w14:textId="34ED6457" w:rsidR="00EA6ACA" w:rsidRDefault="001661ED" w:rsidP="009C35A0">
      <w:pPr>
        <w:spacing w:line="480" w:lineRule="auto"/>
        <w:ind w:firstLine="720"/>
        <w:rPr>
          <w:rFonts w:cstheme="minorHAnsi"/>
          <w:sz w:val="24"/>
          <w:szCs w:val="24"/>
        </w:rPr>
      </w:pPr>
      <w:r>
        <w:rPr>
          <w:rFonts w:cstheme="minorHAnsi"/>
          <w:sz w:val="24"/>
          <w:szCs w:val="24"/>
        </w:rPr>
        <w:t>The protocol for this study is registered at</w:t>
      </w:r>
      <w:r w:rsidRPr="00EA6ACA">
        <w:rPr>
          <w:rFonts w:cstheme="minorHAnsi"/>
          <w:sz w:val="24"/>
          <w:szCs w:val="24"/>
        </w:rPr>
        <w:t xml:space="preserve"> </w:t>
      </w:r>
      <w:r w:rsidR="00E43D5D">
        <w:rPr>
          <w:rFonts w:cstheme="minorHAnsi"/>
          <w:sz w:val="24"/>
          <w:szCs w:val="24"/>
        </w:rPr>
        <w:t>PROSPERO (</w:t>
      </w:r>
      <w:r w:rsidR="00E43D5D" w:rsidRPr="00384D85">
        <w:rPr>
          <w:rFonts w:cstheme="minorHAnsi"/>
          <w:sz w:val="24"/>
          <w:szCs w:val="24"/>
        </w:rPr>
        <w:t>CRD42020166827</w:t>
      </w:r>
      <w:r w:rsidR="00E43D5D">
        <w:rPr>
          <w:rFonts w:cstheme="minorHAnsi"/>
          <w:sz w:val="24"/>
          <w:szCs w:val="24"/>
        </w:rPr>
        <w:t>)</w:t>
      </w:r>
      <w:r w:rsidR="00EA6ACA" w:rsidRPr="00EA6ACA">
        <w:rPr>
          <w:rFonts w:cstheme="minorHAnsi"/>
          <w:sz w:val="24"/>
          <w:szCs w:val="24"/>
        </w:rPr>
        <w:t xml:space="preserve">. </w:t>
      </w:r>
      <w:r w:rsidR="00EA6ACA">
        <w:rPr>
          <w:rFonts w:cstheme="minorHAnsi"/>
          <w:sz w:val="24"/>
          <w:szCs w:val="24"/>
        </w:rPr>
        <w:t>T</w:t>
      </w:r>
      <w:r w:rsidR="00EA6ACA" w:rsidRPr="00EA6ACA">
        <w:rPr>
          <w:rFonts w:cstheme="minorHAnsi"/>
          <w:sz w:val="24"/>
          <w:szCs w:val="24"/>
        </w:rPr>
        <w:t>his manuscript is reported according to the Preferred Reporting Items for Systematic Reviews and Meta-analysis (PRISMA)</w:t>
      </w:r>
      <w:r w:rsidR="00EA6ACA">
        <w:rPr>
          <w:rFonts w:cstheme="minorHAnsi"/>
          <w:sz w:val="24"/>
          <w:szCs w:val="24"/>
        </w:rPr>
        <w:t xml:space="preserve"> </w:t>
      </w:r>
      <w:commentRangeStart w:id="0"/>
      <w:r w:rsidR="00EA6ACA" w:rsidRPr="00EA6ACA">
        <w:rPr>
          <w:rFonts w:cstheme="minorHAnsi"/>
          <w:sz w:val="24"/>
          <w:szCs w:val="24"/>
        </w:rPr>
        <w:t>guidelines</w:t>
      </w:r>
      <w:commentRangeEnd w:id="0"/>
      <w:r w:rsidR="009C35A0">
        <w:rPr>
          <w:rStyle w:val="CommentReference"/>
        </w:rPr>
        <w:commentReference w:id="0"/>
      </w:r>
      <w:r w:rsidR="009C35A0">
        <w:rPr>
          <w:rFonts w:cstheme="minorHAnsi"/>
          <w:sz w:val="24"/>
          <w:szCs w:val="24"/>
        </w:rPr>
        <w:t>.</w:t>
      </w:r>
    </w:p>
    <w:p w14:paraId="49D9A9B7" w14:textId="6F7A4940" w:rsidR="009C35A0" w:rsidRPr="009C35A0" w:rsidRDefault="009C35A0" w:rsidP="009C35A0">
      <w:pPr>
        <w:spacing w:line="480" w:lineRule="auto"/>
        <w:rPr>
          <w:rFonts w:cstheme="minorHAnsi"/>
          <w:b/>
          <w:bCs/>
          <w:sz w:val="24"/>
          <w:szCs w:val="24"/>
        </w:rPr>
      </w:pPr>
      <w:r w:rsidRPr="009C35A0">
        <w:rPr>
          <w:rFonts w:cstheme="minorHAnsi"/>
          <w:b/>
          <w:bCs/>
          <w:sz w:val="24"/>
          <w:szCs w:val="24"/>
        </w:rPr>
        <w:t>Eligibility criteri</w:t>
      </w:r>
      <w:r w:rsidR="00E43D5D">
        <w:rPr>
          <w:rFonts w:cstheme="minorHAnsi"/>
          <w:b/>
          <w:bCs/>
          <w:sz w:val="24"/>
          <w:szCs w:val="24"/>
        </w:rPr>
        <w:t>a</w:t>
      </w:r>
    </w:p>
    <w:p w14:paraId="2A96C91E" w14:textId="7DE75952" w:rsidR="001661ED" w:rsidRDefault="009C35A0" w:rsidP="001410CF">
      <w:pPr>
        <w:spacing w:line="480" w:lineRule="auto"/>
        <w:ind w:firstLine="720"/>
        <w:rPr>
          <w:rFonts w:cstheme="minorHAnsi"/>
          <w:sz w:val="24"/>
          <w:szCs w:val="24"/>
        </w:rPr>
      </w:pPr>
      <w:r w:rsidRPr="009C35A0">
        <w:rPr>
          <w:rFonts w:cstheme="minorHAnsi"/>
          <w:sz w:val="24"/>
          <w:szCs w:val="24"/>
        </w:rPr>
        <w:t xml:space="preserve">We included studies </w:t>
      </w:r>
      <w:r w:rsidR="001661ED">
        <w:rPr>
          <w:rFonts w:cstheme="minorHAnsi"/>
          <w:sz w:val="24"/>
          <w:szCs w:val="24"/>
        </w:rPr>
        <w:t xml:space="preserve">comparing at least two thymectomy techniques performed in </w:t>
      </w:r>
      <w:r w:rsidRPr="009C35A0">
        <w:rPr>
          <w:rFonts w:cstheme="minorHAnsi"/>
          <w:sz w:val="24"/>
          <w:szCs w:val="24"/>
        </w:rPr>
        <w:t xml:space="preserve">patients older than 18 years </w:t>
      </w:r>
      <w:r w:rsidR="001661ED">
        <w:rPr>
          <w:rFonts w:cstheme="minorHAnsi"/>
          <w:sz w:val="24"/>
          <w:szCs w:val="24"/>
        </w:rPr>
        <w:t xml:space="preserve">who have </w:t>
      </w:r>
      <w:r w:rsidRPr="009C35A0">
        <w:rPr>
          <w:rFonts w:cstheme="minorHAnsi"/>
          <w:sz w:val="24"/>
          <w:szCs w:val="24"/>
        </w:rPr>
        <w:t xml:space="preserve">myasthenia gravis with or without thymoma. </w:t>
      </w:r>
      <w:r w:rsidR="001410CF" w:rsidRPr="001410CF">
        <w:rPr>
          <w:rFonts w:cstheme="minorHAnsi"/>
          <w:sz w:val="24"/>
          <w:szCs w:val="24"/>
        </w:rPr>
        <w:t xml:space="preserve">The outcomes of </w:t>
      </w:r>
      <w:r w:rsidR="001410CF">
        <w:rPr>
          <w:rFonts w:cstheme="minorHAnsi"/>
          <w:sz w:val="24"/>
          <w:szCs w:val="24"/>
        </w:rPr>
        <w:t xml:space="preserve">this study </w:t>
      </w:r>
      <w:r w:rsidR="001410CF" w:rsidRPr="001410CF">
        <w:rPr>
          <w:rFonts w:cstheme="minorHAnsi"/>
          <w:sz w:val="24"/>
          <w:szCs w:val="24"/>
        </w:rPr>
        <w:t>were complete stable remission (CSR), and pharmacological remission (PR).</w:t>
      </w:r>
      <w:r w:rsidR="001410CF">
        <w:rPr>
          <w:rFonts w:cstheme="minorHAnsi"/>
          <w:sz w:val="24"/>
          <w:szCs w:val="24"/>
        </w:rPr>
        <w:t xml:space="preserve"> T</w:t>
      </w:r>
      <w:r w:rsidR="001410CF" w:rsidRPr="001410CF">
        <w:rPr>
          <w:rFonts w:cstheme="minorHAnsi"/>
          <w:sz w:val="24"/>
          <w:szCs w:val="24"/>
        </w:rPr>
        <w:t>o minimize</w:t>
      </w:r>
      <w:r w:rsidR="001410CF">
        <w:rPr>
          <w:rFonts w:cstheme="minorHAnsi"/>
          <w:sz w:val="24"/>
          <w:szCs w:val="24"/>
        </w:rPr>
        <w:t xml:space="preserve"> </w:t>
      </w:r>
      <w:r w:rsidR="001410CF" w:rsidRPr="001410CF">
        <w:rPr>
          <w:rFonts w:cstheme="minorHAnsi"/>
          <w:sz w:val="24"/>
          <w:szCs w:val="24"/>
        </w:rPr>
        <w:t>the risk of bias in individual studies, only publications that</w:t>
      </w:r>
      <w:r w:rsidR="001410CF">
        <w:rPr>
          <w:rFonts w:cstheme="minorHAnsi"/>
          <w:sz w:val="24"/>
          <w:szCs w:val="24"/>
        </w:rPr>
        <w:t xml:space="preserve"> </w:t>
      </w:r>
      <w:r w:rsidR="001410CF" w:rsidRPr="001410CF">
        <w:rPr>
          <w:rFonts w:cstheme="minorHAnsi"/>
          <w:sz w:val="24"/>
          <w:szCs w:val="24"/>
        </w:rPr>
        <w:t xml:space="preserve">presented </w:t>
      </w:r>
      <w:r w:rsidR="001410CF">
        <w:rPr>
          <w:rFonts w:cstheme="minorHAnsi"/>
          <w:sz w:val="24"/>
          <w:szCs w:val="24"/>
        </w:rPr>
        <w:t>comparative cohort studies and clinical trial</w:t>
      </w:r>
      <w:r w:rsidR="002359C2">
        <w:rPr>
          <w:rFonts w:cstheme="minorHAnsi"/>
          <w:sz w:val="24"/>
          <w:szCs w:val="24"/>
        </w:rPr>
        <w:t>, limited to English language,</w:t>
      </w:r>
      <w:r w:rsidR="001410CF">
        <w:rPr>
          <w:rFonts w:cstheme="minorHAnsi"/>
          <w:sz w:val="24"/>
          <w:szCs w:val="24"/>
        </w:rPr>
        <w:t xml:space="preserve"> were included. </w:t>
      </w:r>
    </w:p>
    <w:p w14:paraId="342D2252" w14:textId="65A891CE" w:rsidR="002E6B11" w:rsidRDefault="002E6B11" w:rsidP="002E6B11">
      <w:pPr>
        <w:spacing w:line="480" w:lineRule="auto"/>
        <w:rPr>
          <w:rFonts w:cstheme="minorHAnsi"/>
          <w:b/>
          <w:bCs/>
          <w:sz w:val="24"/>
          <w:szCs w:val="24"/>
        </w:rPr>
      </w:pPr>
      <w:r w:rsidRPr="002E6B11">
        <w:rPr>
          <w:rFonts w:cstheme="minorHAnsi"/>
          <w:b/>
          <w:bCs/>
          <w:sz w:val="24"/>
          <w:szCs w:val="24"/>
        </w:rPr>
        <w:t>Data sources and searches</w:t>
      </w:r>
    </w:p>
    <w:p w14:paraId="0EEE6AEC" w14:textId="3068C714" w:rsidR="002E6B11" w:rsidRDefault="002E6B11" w:rsidP="002E6B11">
      <w:pPr>
        <w:spacing w:line="480" w:lineRule="auto"/>
        <w:rPr>
          <w:rFonts w:cstheme="minorHAnsi"/>
          <w:sz w:val="24"/>
          <w:szCs w:val="24"/>
        </w:rPr>
      </w:pPr>
      <w:r w:rsidRPr="002E6B11">
        <w:rPr>
          <w:rFonts w:cstheme="minorHAnsi"/>
          <w:sz w:val="24"/>
          <w:szCs w:val="24"/>
        </w:rPr>
        <w:t>A comprehensive search of several databases from each database's inception to May 6th, 2019, any language, was conducted. The databases included Ovid MEDLINE(R) and Epub Ahead of Print, In-Process &amp; Other Non-Indexed Citations, and Daily, Ovid EMBASE, Ovid Cochrane Central Register of Controlled Trials, Ovid Cochrane Database of Systematic Reviews, and Scopus. The search strategy was designed and conducted by an experienced librarian with input from the study's principle investigator. Controlled vocabulary supplemented with keywords was used to search for thymectomy for adults with myasthenia gravis.</w:t>
      </w:r>
      <w:r w:rsidR="00E43D5D">
        <w:rPr>
          <w:rFonts w:cstheme="minorHAnsi"/>
          <w:sz w:val="24"/>
          <w:szCs w:val="24"/>
        </w:rPr>
        <w:t xml:space="preserve"> </w:t>
      </w:r>
      <w:r w:rsidR="00E43D5D" w:rsidRPr="00B0541B">
        <w:rPr>
          <w:rFonts w:cstheme="minorHAnsi"/>
          <w:sz w:val="24"/>
          <w:szCs w:val="24"/>
        </w:rPr>
        <w:t>Conference abstracts, literature reviews, case reports and editorials we excluded</w:t>
      </w:r>
      <w:r w:rsidR="00E43D5D">
        <w:rPr>
          <w:rFonts w:cstheme="minorHAnsi"/>
          <w:sz w:val="24"/>
          <w:szCs w:val="24"/>
        </w:rPr>
        <w:t>.</w:t>
      </w:r>
      <w:r w:rsidRPr="002E6B11">
        <w:rPr>
          <w:rFonts w:cstheme="minorHAnsi"/>
          <w:sz w:val="24"/>
          <w:szCs w:val="24"/>
        </w:rPr>
        <w:t xml:space="preserve"> The actual strategy listing all search terms used and how they </w:t>
      </w:r>
      <w:r w:rsidR="001661ED">
        <w:rPr>
          <w:rFonts w:cstheme="minorHAnsi"/>
          <w:sz w:val="24"/>
          <w:szCs w:val="24"/>
        </w:rPr>
        <w:t>were</w:t>
      </w:r>
      <w:r w:rsidR="001661ED" w:rsidRPr="002E6B11">
        <w:rPr>
          <w:rFonts w:cstheme="minorHAnsi"/>
          <w:sz w:val="24"/>
          <w:szCs w:val="24"/>
        </w:rPr>
        <w:t xml:space="preserve"> </w:t>
      </w:r>
      <w:r w:rsidRPr="002E6B11">
        <w:rPr>
          <w:rFonts w:cstheme="minorHAnsi"/>
          <w:sz w:val="24"/>
          <w:szCs w:val="24"/>
        </w:rPr>
        <w:t>combined is available in the appendix.</w:t>
      </w:r>
    </w:p>
    <w:p w14:paraId="011C780C" w14:textId="79031821" w:rsidR="002E6B11" w:rsidRDefault="002E6B11" w:rsidP="002E6B11">
      <w:pPr>
        <w:spacing w:line="480" w:lineRule="auto"/>
        <w:rPr>
          <w:rFonts w:cstheme="minorHAnsi"/>
          <w:b/>
          <w:bCs/>
          <w:sz w:val="24"/>
          <w:szCs w:val="24"/>
        </w:rPr>
      </w:pPr>
      <w:r w:rsidRPr="002E6B11">
        <w:rPr>
          <w:rFonts w:cstheme="minorHAnsi"/>
          <w:b/>
          <w:bCs/>
          <w:sz w:val="24"/>
          <w:szCs w:val="24"/>
        </w:rPr>
        <w:t>Study selection</w:t>
      </w:r>
    </w:p>
    <w:p w14:paraId="53CE2570" w14:textId="77777777" w:rsidR="00E63F4B" w:rsidRDefault="002E6B11" w:rsidP="00E63F4B">
      <w:pPr>
        <w:spacing w:line="480" w:lineRule="auto"/>
        <w:rPr>
          <w:rFonts w:cstheme="minorHAnsi"/>
          <w:sz w:val="24"/>
          <w:szCs w:val="24"/>
        </w:rPr>
      </w:pPr>
      <w:r w:rsidRPr="002E6B11">
        <w:rPr>
          <w:rFonts w:cstheme="minorHAnsi"/>
          <w:sz w:val="24"/>
          <w:szCs w:val="24"/>
        </w:rPr>
        <w:t>Search re</w:t>
      </w:r>
      <w:r w:rsidR="002359C2">
        <w:rPr>
          <w:rFonts w:cstheme="minorHAnsi"/>
          <w:sz w:val="24"/>
          <w:szCs w:val="24"/>
        </w:rPr>
        <w:t>cords</w:t>
      </w:r>
      <w:r w:rsidRPr="002E6B11">
        <w:rPr>
          <w:rFonts w:cstheme="minorHAnsi"/>
          <w:sz w:val="24"/>
          <w:szCs w:val="24"/>
        </w:rPr>
        <w:t xml:space="preserve"> were uploaded into a systematic review software program (DistillerSR, Ottawa, ON, </w:t>
      </w:r>
      <w:commentRangeStart w:id="1"/>
      <w:r w:rsidRPr="002E6B11">
        <w:rPr>
          <w:rFonts w:cstheme="minorHAnsi"/>
          <w:sz w:val="24"/>
          <w:szCs w:val="24"/>
        </w:rPr>
        <w:t>Canada</w:t>
      </w:r>
      <w:commentRangeEnd w:id="1"/>
      <w:r w:rsidR="00DB579A">
        <w:rPr>
          <w:rStyle w:val="CommentReference"/>
        </w:rPr>
        <w:commentReference w:id="1"/>
      </w:r>
      <w:r w:rsidRPr="002E6B11">
        <w:rPr>
          <w:rFonts w:cstheme="minorHAnsi"/>
          <w:sz w:val="24"/>
          <w:szCs w:val="24"/>
        </w:rPr>
        <w:t xml:space="preserve">). </w:t>
      </w:r>
      <w:r w:rsidR="002359C2">
        <w:rPr>
          <w:rFonts w:cstheme="minorHAnsi"/>
          <w:sz w:val="24"/>
          <w:szCs w:val="24"/>
        </w:rPr>
        <w:t>Titles and abstracts were screened by f</w:t>
      </w:r>
      <w:r w:rsidR="001661ED">
        <w:rPr>
          <w:rFonts w:cstheme="minorHAnsi"/>
          <w:sz w:val="24"/>
          <w:szCs w:val="24"/>
        </w:rPr>
        <w:t>our r</w:t>
      </w:r>
      <w:r w:rsidRPr="002E6B11">
        <w:rPr>
          <w:rFonts w:cstheme="minorHAnsi"/>
          <w:sz w:val="24"/>
          <w:szCs w:val="24"/>
        </w:rPr>
        <w:t>eviewers</w:t>
      </w:r>
      <w:r w:rsidR="002359C2">
        <w:rPr>
          <w:rFonts w:cstheme="minorHAnsi"/>
          <w:sz w:val="24"/>
          <w:szCs w:val="24"/>
        </w:rPr>
        <w:t xml:space="preserve"> (</w:t>
      </w:r>
      <w:r w:rsidR="002359C2" w:rsidRPr="002E6B11">
        <w:rPr>
          <w:rFonts w:cstheme="minorHAnsi"/>
          <w:sz w:val="24"/>
          <w:szCs w:val="24"/>
        </w:rPr>
        <w:t>P.S-P.,</w:t>
      </w:r>
      <w:r w:rsidR="002359C2">
        <w:rPr>
          <w:rFonts w:cstheme="minorHAnsi"/>
          <w:sz w:val="24"/>
          <w:szCs w:val="24"/>
        </w:rPr>
        <w:t xml:space="preserve"> </w:t>
      </w:r>
      <w:r w:rsidR="002359C2" w:rsidRPr="002E6B11">
        <w:rPr>
          <w:rFonts w:cstheme="minorHAnsi"/>
          <w:sz w:val="24"/>
          <w:szCs w:val="24"/>
        </w:rPr>
        <w:t xml:space="preserve">E.L-N., </w:t>
      </w:r>
      <w:r w:rsidR="002359C2">
        <w:rPr>
          <w:rFonts w:cstheme="minorHAnsi"/>
          <w:sz w:val="24"/>
          <w:szCs w:val="24"/>
        </w:rPr>
        <w:t>W</w:t>
      </w:r>
      <w:r w:rsidR="002359C2" w:rsidRPr="002E6B11">
        <w:rPr>
          <w:rFonts w:cstheme="minorHAnsi"/>
          <w:sz w:val="24"/>
          <w:szCs w:val="24"/>
        </w:rPr>
        <w:t>.</w:t>
      </w:r>
      <w:r w:rsidR="002359C2">
        <w:rPr>
          <w:rFonts w:cstheme="minorHAnsi"/>
          <w:sz w:val="24"/>
          <w:szCs w:val="24"/>
        </w:rPr>
        <w:t>T.</w:t>
      </w:r>
      <w:r w:rsidR="002359C2" w:rsidRPr="002E6B11">
        <w:rPr>
          <w:rFonts w:cstheme="minorHAnsi"/>
          <w:sz w:val="24"/>
          <w:szCs w:val="24"/>
        </w:rPr>
        <w:t xml:space="preserve">, </w:t>
      </w:r>
      <w:r w:rsidR="002359C2">
        <w:rPr>
          <w:rFonts w:cstheme="minorHAnsi"/>
          <w:sz w:val="24"/>
          <w:szCs w:val="24"/>
        </w:rPr>
        <w:t>I</w:t>
      </w:r>
      <w:r w:rsidR="002359C2" w:rsidRPr="002E6B11">
        <w:rPr>
          <w:rFonts w:cstheme="minorHAnsi"/>
          <w:sz w:val="24"/>
          <w:szCs w:val="24"/>
        </w:rPr>
        <w:t>.</w:t>
      </w:r>
      <w:r w:rsidR="002359C2">
        <w:rPr>
          <w:rFonts w:cstheme="minorHAnsi"/>
          <w:sz w:val="24"/>
          <w:szCs w:val="24"/>
        </w:rPr>
        <w:t>B.</w:t>
      </w:r>
      <w:r w:rsidR="002359C2" w:rsidRPr="002E6B11">
        <w:rPr>
          <w:rFonts w:cstheme="minorHAnsi"/>
          <w:sz w:val="24"/>
          <w:szCs w:val="24"/>
        </w:rPr>
        <w:t>)</w:t>
      </w:r>
      <w:r w:rsidR="002359C2">
        <w:rPr>
          <w:rFonts w:cstheme="minorHAnsi"/>
          <w:sz w:val="24"/>
          <w:szCs w:val="24"/>
        </w:rPr>
        <w:t xml:space="preserve"> separately and in duplicate, </w:t>
      </w:r>
      <w:r w:rsidRPr="002E6B11">
        <w:rPr>
          <w:rFonts w:cstheme="minorHAnsi"/>
          <w:sz w:val="24"/>
          <w:szCs w:val="24"/>
        </w:rPr>
        <w:t xml:space="preserve">using standardized instructions. </w:t>
      </w:r>
      <w:r w:rsidR="00F1354E">
        <w:rPr>
          <w:rFonts w:cstheme="minorHAnsi"/>
          <w:sz w:val="24"/>
          <w:szCs w:val="24"/>
        </w:rPr>
        <w:t>Previous</w:t>
      </w:r>
      <w:r w:rsidRPr="002E6B11">
        <w:rPr>
          <w:rFonts w:cstheme="minorHAnsi"/>
          <w:sz w:val="24"/>
          <w:szCs w:val="24"/>
        </w:rPr>
        <w:t xml:space="preserve"> abstract screening phase, a pilot was performed with 20 articles to assess</w:t>
      </w:r>
      <w:r w:rsidR="00F1354E">
        <w:rPr>
          <w:rFonts w:cstheme="minorHAnsi"/>
          <w:sz w:val="24"/>
          <w:szCs w:val="24"/>
        </w:rPr>
        <w:t xml:space="preserve"> which met the eligibility criteria</w:t>
      </w:r>
      <w:r w:rsidR="00A60544">
        <w:rPr>
          <w:rFonts w:cstheme="minorHAnsi"/>
          <w:sz w:val="24"/>
          <w:szCs w:val="24"/>
        </w:rPr>
        <w:t xml:space="preserve"> </w:t>
      </w:r>
      <w:r w:rsidRPr="002E6B11">
        <w:rPr>
          <w:rFonts w:cstheme="minorHAnsi"/>
          <w:sz w:val="24"/>
          <w:szCs w:val="24"/>
        </w:rPr>
        <w:t>among reviewers</w:t>
      </w:r>
      <w:r w:rsidR="00F1354E">
        <w:rPr>
          <w:rFonts w:cstheme="minorHAnsi"/>
          <w:sz w:val="24"/>
          <w:szCs w:val="24"/>
        </w:rPr>
        <w:t xml:space="preserve">. </w:t>
      </w:r>
      <w:r w:rsidR="00F1354E" w:rsidRPr="00F1354E">
        <w:rPr>
          <w:rFonts w:cstheme="minorHAnsi"/>
          <w:sz w:val="24"/>
          <w:szCs w:val="24"/>
        </w:rPr>
        <w:t>Articles included by at least one reviewer were retrieved.</w:t>
      </w:r>
      <w:r w:rsidR="00F1354E">
        <w:rPr>
          <w:rFonts w:cstheme="minorHAnsi"/>
          <w:sz w:val="24"/>
          <w:szCs w:val="24"/>
        </w:rPr>
        <w:t xml:space="preserve"> Following this phase</w:t>
      </w:r>
      <w:r w:rsidRPr="002E6B11">
        <w:rPr>
          <w:rFonts w:cstheme="minorHAnsi"/>
          <w:sz w:val="24"/>
          <w:szCs w:val="24"/>
        </w:rPr>
        <w:t xml:space="preserve">, </w:t>
      </w:r>
      <w:r w:rsidR="00A60544">
        <w:rPr>
          <w:rFonts w:cstheme="minorHAnsi"/>
          <w:sz w:val="24"/>
          <w:szCs w:val="24"/>
        </w:rPr>
        <w:t xml:space="preserve">eligibility of reports </w:t>
      </w:r>
      <w:r w:rsidR="00A60544" w:rsidRPr="002E6B11">
        <w:rPr>
          <w:rFonts w:cstheme="minorHAnsi"/>
          <w:sz w:val="24"/>
          <w:szCs w:val="24"/>
        </w:rPr>
        <w:t>was</w:t>
      </w:r>
      <w:r w:rsidRPr="002E6B11">
        <w:rPr>
          <w:rFonts w:cstheme="minorHAnsi"/>
          <w:sz w:val="24"/>
          <w:szCs w:val="24"/>
        </w:rPr>
        <w:t xml:space="preserve"> considered for full-text screening.</w:t>
      </w:r>
      <w:r w:rsidR="00A60544">
        <w:rPr>
          <w:rFonts w:cstheme="minorHAnsi"/>
          <w:sz w:val="24"/>
          <w:szCs w:val="24"/>
        </w:rPr>
        <w:t xml:space="preserve"> </w:t>
      </w:r>
      <w:r w:rsidR="00A60544" w:rsidRPr="00A60544">
        <w:rPr>
          <w:rFonts w:cstheme="minorHAnsi"/>
          <w:sz w:val="24"/>
          <w:szCs w:val="24"/>
        </w:rPr>
        <w:t>To</w:t>
      </w:r>
      <w:r w:rsidR="00A60544">
        <w:rPr>
          <w:rFonts w:cstheme="minorHAnsi"/>
          <w:sz w:val="24"/>
          <w:szCs w:val="24"/>
        </w:rPr>
        <w:t xml:space="preserve"> keep tracking a match </w:t>
      </w:r>
      <w:r w:rsidR="00A60544" w:rsidRPr="00A60544">
        <w:rPr>
          <w:rFonts w:cstheme="minorHAnsi"/>
          <w:sz w:val="24"/>
          <w:szCs w:val="24"/>
        </w:rPr>
        <w:t xml:space="preserve">among reviewers, </w:t>
      </w:r>
      <w:r w:rsidR="00DF3B37">
        <w:rPr>
          <w:rFonts w:cstheme="minorHAnsi"/>
          <w:sz w:val="24"/>
          <w:szCs w:val="24"/>
        </w:rPr>
        <w:t>a pilot of 10 full-text papers were a performance</w:t>
      </w:r>
      <w:r w:rsidRPr="002E6B11">
        <w:rPr>
          <w:rFonts w:cstheme="minorHAnsi"/>
          <w:sz w:val="24"/>
          <w:szCs w:val="24"/>
        </w:rPr>
        <w:t xml:space="preserve">. </w:t>
      </w:r>
      <w:r w:rsidR="00DF3B37">
        <w:rPr>
          <w:rFonts w:cstheme="minorHAnsi"/>
          <w:sz w:val="24"/>
          <w:szCs w:val="24"/>
        </w:rPr>
        <w:t>At this level, any d</w:t>
      </w:r>
      <w:r w:rsidR="00DF3B37" w:rsidRPr="00A60544">
        <w:rPr>
          <w:rFonts w:cstheme="minorHAnsi"/>
          <w:sz w:val="24"/>
          <w:szCs w:val="24"/>
        </w:rPr>
        <w:t>isagreements were resolved through consensus with a third</w:t>
      </w:r>
      <w:r w:rsidR="00E63F4B">
        <w:rPr>
          <w:rFonts w:cstheme="minorHAnsi"/>
          <w:sz w:val="24"/>
          <w:szCs w:val="24"/>
        </w:rPr>
        <w:t xml:space="preserve"> reviewer (</w:t>
      </w:r>
      <w:r w:rsidR="00E63F4B" w:rsidRPr="002E6B11">
        <w:rPr>
          <w:rFonts w:cstheme="minorHAnsi"/>
          <w:sz w:val="24"/>
          <w:szCs w:val="24"/>
        </w:rPr>
        <w:t>P.S-P.,</w:t>
      </w:r>
      <w:r w:rsidR="00E63F4B">
        <w:rPr>
          <w:rFonts w:cstheme="minorHAnsi"/>
          <w:sz w:val="24"/>
          <w:szCs w:val="24"/>
        </w:rPr>
        <w:t xml:space="preserve"> </w:t>
      </w:r>
      <w:r w:rsidR="00E63F4B" w:rsidRPr="002E6B11">
        <w:rPr>
          <w:rFonts w:cstheme="minorHAnsi"/>
          <w:sz w:val="24"/>
          <w:szCs w:val="24"/>
        </w:rPr>
        <w:t>E.L-N</w:t>
      </w:r>
      <w:r w:rsidR="00E63F4B">
        <w:rPr>
          <w:rFonts w:cstheme="minorHAnsi"/>
          <w:sz w:val="24"/>
          <w:szCs w:val="24"/>
        </w:rPr>
        <w:t xml:space="preserve">., O.J.P.) </w:t>
      </w:r>
      <w:r w:rsidR="00E63F4B" w:rsidRPr="002E6B11">
        <w:rPr>
          <w:rFonts w:cstheme="minorHAnsi"/>
          <w:sz w:val="24"/>
          <w:szCs w:val="24"/>
        </w:rPr>
        <w:t xml:space="preserve">Full text screening agreement using Cohen’s kappa was </w:t>
      </w:r>
      <w:r w:rsidR="00E63F4B" w:rsidRPr="001410CF">
        <w:rPr>
          <w:rFonts w:cstheme="minorHAnsi"/>
          <w:sz w:val="24"/>
          <w:szCs w:val="24"/>
        </w:rPr>
        <w:t>(k=0.42).</w:t>
      </w:r>
      <w:r w:rsidR="00E63F4B">
        <w:rPr>
          <w:rFonts w:cstheme="minorHAnsi"/>
          <w:sz w:val="24"/>
          <w:szCs w:val="24"/>
        </w:rPr>
        <w:t xml:space="preserve"> </w:t>
      </w:r>
    </w:p>
    <w:p w14:paraId="4B277F4E" w14:textId="3EA3D3A2" w:rsidR="00DB579A" w:rsidRPr="00DB579A" w:rsidRDefault="00DB579A" w:rsidP="00DB579A">
      <w:pPr>
        <w:spacing w:line="480" w:lineRule="auto"/>
        <w:rPr>
          <w:rFonts w:cstheme="minorHAnsi"/>
          <w:b/>
          <w:bCs/>
          <w:sz w:val="24"/>
          <w:szCs w:val="24"/>
        </w:rPr>
      </w:pPr>
      <w:r w:rsidRPr="00DB579A">
        <w:rPr>
          <w:rFonts w:cstheme="minorHAnsi"/>
          <w:b/>
          <w:bCs/>
          <w:sz w:val="24"/>
          <w:szCs w:val="24"/>
        </w:rPr>
        <w:t xml:space="preserve">Data collection and </w:t>
      </w:r>
      <w:r w:rsidR="007403DD">
        <w:rPr>
          <w:rFonts w:cstheme="minorHAnsi"/>
          <w:b/>
          <w:bCs/>
          <w:sz w:val="24"/>
          <w:szCs w:val="24"/>
        </w:rPr>
        <w:t>variables</w:t>
      </w:r>
    </w:p>
    <w:p w14:paraId="74762B40" w14:textId="63B9BA24" w:rsidR="00E26927" w:rsidRDefault="003A1133" w:rsidP="00E26927">
      <w:pPr>
        <w:spacing w:line="480" w:lineRule="auto"/>
        <w:rPr>
          <w:rFonts w:cstheme="minorHAnsi"/>
          <w:sz w:val="24"/>
          <w:szCs w:val="24"/>
        </w:rPr>
      </w:pPr>
      <w:r>
        <w:rPr>
          <w:rFonts w:cstheme="minorHAnsi"/>
          <w:sz w:val="24"/>
          <w:szCs w:val="24"/>
        </w:rPr>
        <w:t>T</w:t>
      </w:r>
      <w:r w:rsidR="00DB579A">
        <w:rPr>
          <w:rFonts w:cstheme="minorHAnsi"/>
          <w:sz w:val="24"/>
          <w:szCs w:val="24"/>
        </w:rPr>
        <w:t>wo</w:t>
      </w:r>
      <w:r w:rsidR="00DB579A" w:rsidRPr="00DB579A">
        <w:rPr>
          <w:rFonts w:cstheme="minorHAnsi"/>
          <w:sz w:val="24"/>
          <w:szCs w:val="24"/>
        </w:rPr>
        <w:t xml:space="preserve"> reviewer</w:t>
      </w:r>
      <w:r w:rsidR="00DB579A">
        <w:rPr>
          <w:rFonts w:cstheme="minorHAnsi"/>
          <w:sz w:val="24"/>
          <w:szCs w:val="24"/>
        </w:rPr>
        <w:t>s</w:t>
      </w:r>
      <w:r w:rsidR="00DB579A" w:rsidRPr="00DB579A">
        <w:rPr>
          <w:rFonts w:cstheme="minorHAnsi"/>
          <w:sz w:val="24"/>
          <w:szCs w:val="24"/>
        </w:rPr>
        <w:t xml:space="preserve"> (</w:t>
      </w:r>
      <w:r w:rsidR="00DB579A">
        <w:rPr>
          <w:rFonts w:cstheme="minorHAnsi"/>
          <w:sz w:val="24"/>
          <w:szCs w:val="24"/>
        </w:rPr>
        <w:t xml:space="preserve">P.S-P., </w:t>
      </w:r>
      <w:r w:rsidR="00DB579A" w:rsidRPr="00DB579A">
        <w:rPr>
          <w:rFonts w:cstheme="minorHAnsi"/>
          <w:sz w:val="24"/>
          <w:szCs w:val="24"/>
        </w:rPr>
        <w:t>E.L-N)</w:t>
      </w:r>
      <w:r>
        <w:rPr>
          <w:rFonts w:cstheme="minorHAnsi"/>
          <w:sz w:val="24"/>
          <w:szCs w:val="24"/>
        </w:rPr>
        <w:t xml:space="preserve"> working independently and in duplicates</w:t>
      </w:r>
      <w:r w:rsidR="00DB579A" w:rsidRPr="00DB579A">
        <w:rPr>
          <w:rFonts w:cstheme="minorHAnsi"/>
          <w:sz w:val="24"/>
          <w:szCs w:val="24"/>
        </w:rPr>
        <w:t xml:space="preserve"> extracted study data into a spreadsheet sheet and </w:t>
      </w:r>
      <w:r w:rsidR="00A706DB">
        <w:rPr>
          <w:rFonts w:cstheme="minorHAnsi"/>
          <w:sz w:val="24"/>
          <w:szCs w:val="24"/>
        </w:rPr>
        <w:t xml:space="preserve">a third </w:t>
      </w:r>
      <w:r w:rsidR="00DB579A" w:rsidRPr="00DB579A">
        <w:rPr>
          <w:rFonts w:cstheme="minorHAnsi"/>
          <w:sz w:val="24"/>
          <w:szCs w:val="24"/>
        </w:rPr>
        <w:t>(</w:t>
      </w:r>
      <w:r w:rsidR="00A706DB">
        <w:rPr>
          <w:rFonts w:cstheme="minorHAnsi"/>
          <w:sz w:val="24"/>
          <w:szCs w:val="24"/>
        </w:rPr>
        <w:t>O.J.P</w:t>
      </w:r>
      <w:r w:rsidR="00DB579A" w:rsidRPr="00DB579A">
        <w:rPr>
          <w:rFonts w:cstheme="minorHAnsi"/>
          <w:sz w:val="24"/>
          <w:szCs w:val="24"/>
        </w:rPr>
        <w:t xml:space="preserve">) checked randomly 30% of data extracted for accuracy and completeness. </w:t>
      </w:r>
      <w:r>
        <w:rPr>
          <w:rFonts w:cstheme="minorHAnsi"/>
          <w:sz w:val="24"/>
          <w:szCs w:val="24"/>
        </w:rPr>
        <w:t xml:space="preserve"> The variables of interest</w:t>
      </w:r>
      <w:r w:rsidR="00DB579A" w:rsidRPr="00DB579A">
        <w:rPr>
          <w:rFonts w:cstheme="minorHAnsi"/>
          <w:sz w:val="24"/>
          <w:szCs w:val="24"/>
        </w:rPr>
        <w:t xml:space="preserve"> were: </w:t>
      </w:r>
      <w:r>
        <w:rPr>
          <w:rFonts w:cstheme="minorHAnsi"/>
          <w:sz w:val="24"/>
          <w:szCs w:val="24"/>
        </w:rPr>
        <w:t xml:space="preserve">1) </w:t>
      </w:r>
      <w:r w:rsidR="00DB579A" w:rsidRPr="00DB579A">
        <w:rPr>
          <w:rFonts w:cstheme="minorHAnsi"/>
          <w:sz w:val="24"/>
          <w:szCs w:val="24"/>
        </w:rPr>
        <w:t>general characteristics (author, publication</w:t>
      </w:r>
      <w:r>
        <w:rPr>
          <w:rFonts w:cstheme="minorHAnsi"/>
          <w:sz w:val="24"/>
          <w:szCs w:val="24"/>
        </w:rPr>
        <w:t xml:space="preserve"> date</w:t>
      </w:r>
      <w:r w:rsidR="00DB579A" w:rsidRPr="00DB579A">
        <w:rPr>
          <w:rFonts w:cstheme="minorHAnsi"/>
          <w:sz w:val="24"/>
          <w:szCs w:val="24"/>
        </w:rPr>
        <w:t xml:space="preserve">, country, study design, data collection period), </w:t>
      </w:r>
      <w:r>
        <w:rPr>
          <w:rFonts w:cstheme="minorHAnsi"/>
          <w:sz w:val="24"/>
          <w:szCs w:val="24"/>
        </w:rPr>
        <w:t xml:space="preserve">2) </w:t>
      </w:r>
      <w:r w:rsidR="00DB579A" w:rsidRPr="00DB579A">
        <w:rPr>
          <w:rFonts w:cstheme="minorHAnsi"/>
          <w:sz w:val="24"/>
          <w:szCs w:val="24"/>
        </w:rPr>
        <w:t xml:space="preserve">setting (single center, multicenter and population based-study), </w:t>
      </w:r>
      <w:r>
        <w:rPr>
          <w:rFonts w:cstheme="minorHAnsi"/>
          <w:sz w:val="24"/>
          <w:szCs w:val="24"/>
        </w:rPr>
        <w:t xml:space="preserve">3) </w:t>
      </w:r>
      <w:r w:rsidR="00DB579A" w:rsidRPr="00DB579A">
        <w:rPr>
          <w:rFonts w:cstheme="minorHAnsi"/>
          <w:sz w:val="24"/>
          <w:szCs w:val="24"/>
        </w:rPr>
        <w:t>participant</w:t>
      </w:r>
      <w:r w:rsidR="007403DD">
        <w:rPr>
          <w:rFonts w:cstheme="minorHAnsi"/>
          <w:sz w:val="24"/>
          <w:szCs w:val="24"/>
        </w:rPr>
        <w:t xml:space="preserve"> baseline</w:t>
      </w:r>
      <w:r w:rsidR="00DB579A" w:rsidRPr="00DB579A">
        <w:rPr>
          <w:rFonts w:cstheme="minorHAnsi"/>
          <w:sz w:val="24"/>
          <w:szCs w:val="24"/>
        </w:rPr>
        <w:t xml:space="preserve"> characteristics</w:t>
      </w:r>
      <w:r w:rsidR="00E26927">
        <w:rPr>
          <w:rFonts w:cstheme="minorHAnsi"/>
          <w:sz w:val="24"/>
          <w:szCs w:val="24"/>
        </w:rPr>
        <w:t xml:space="preserve"> before surgery</w:t>
      </w:r>
      <w:r w:rsidR="00DB579A" w:rsidRPr="00DB579A">
        <w:rPr>
          <w:rFonts w:cstheme="minorHAnsi"/>
          <w:sz w:val="24"/>
          <w:szCs w:val="24"/>
        </w:rPr>
        <w:t xml:space="preserve"> (age</w:t>
      </w:r>
      <w:r w:rsidR="005A1889">
        <w:rPr>
          <w:rFonts w:cstheme="minorHAnsi"/>
          <w:sz w:val="24"/>
          <w:szCs w:val="24"/>
        </w:rPr>
        <w:t xml:space="preserve"> at diagnosis of myasthenia gravis</w:t>
      </w:r>
      <w:r w:rsidR="00DB579A" w:rsidRPr="00DB579A">
        <w:rPr>
          <w:rFonts w:cstheme="minorHAnsi"/>
          <w:sz w:val="24"/>
          <w:szCs w:val="24"/>
        </w:rPr>
        <w:t xml:space="preserve">, sex, </w:t>
      </w:r>
      <w:r>
        <w:rPr>
          <w:rFonts w:cstheme="minorHAnsi"/>
          <w:sz w:val="24"/>
          <w:szCs w:val="24"/>
        </w:rPr>
        <w:t>signs and symptoms</w:t>
      </w:r>
      <w:r w:rsidR="005A1889">
        <w:rPr>
          <w:rFonts w:cstheme="minorHAnsi"/>
          <w:sz w:val="24"/>
          <w:szCs w:val="24"/>
        </w:rPr>
        <w:t>, antibody titers, treatments before surgery</w:t>
      </w:r>
      <w:r w:rsidR="00DB579A" w:rsidRPr="00DB579A">
        <w:rPr>
          <w:rFonts w:cstheme="minorHAnsi"/>
          <w:sz w:val="24"/>
          <w:szCs w:val="24"/>
        </w:rPr>
        <w:t xml:space="preserve">), </w:t>
      </w:r>
      <w:r w:rsidR="00971C25">
        <w:rPr>
          <w:rFonts w:cstheme="minorHAnsi"/>
          <w:sz w:val="24"/>
          <w:szCs w:val="24"/>
        </w:rPr>
        <w:t>4)</w:t>
      </w:r>
      <w:r w:rsidR="00971C25" w:rsidRPr="00971C25">
        <w:rPr>
          <w:rFonts w:cstheme="minorHAnsi"/>
          <w:sz w:val="24"/>
          <w:szCs w:val="24"/>
        </w:rPr>
        <w:t xml:space="preserve"> </w:t>
      </w:r>
      <w:r w:rsidR="00971C25">
        <w:rPr>
          <w:rFonts w:cstheme="minorHAnsi"/>
          <w:sz w:val="24"/>
          <w:szCs w:val="24"/>
        </w:rPr>
        <w:t>surgical approaches, 5</w:t>
      </w:r>
      <w:r>
        <w:rPr>
          <w:rFonts w:cstheme="minorHAnsi"/>
          <w:sz w:val="24"/>
          <w:szCs w:val="24"/>
        </w:rPr>
        <w:t xml:space="preserve">) </w:t>
      </w:r>
      <w:r w:rsidR="00E26927">
        <w:rPr>
          <w:rFonts w:cstheme="minorHAnsi"/>
          <w:sz w:val="24"/>
          <w:szCs w:val="24"/>
        </w:rPr>
        <w:t xml:space="preserve">patients characteristics after surgery (histological types, </w:t>
      </w:r>
      <w:r w:rsidR="00971C25">
        <w:rPr>
          <w:rFonts w:cstheme="minorHAnsi"/>
          <w:sz w:val="24"/>
          <w:szCs w:val="24"/>
        </w:rPr>
        <w:t>signs and symptoms</w:t>
      </w:r>
      <w:r w:rsidR="00E26927">
        <w:rPr>
          <w:rFonts w:cstheme="minorHAnsi"/>
          <w:sz w:val="24"/>
          <w:szCs w:val="24"/>
        </w:rPr>
        <w:t xml:space="preserve"> improvements, complications, </w:t>
      </w:r>
      <w:r w:rsidR="00971C25">
        <w:rPr>
          <w:rFonts w:cstheme="minorHAnsi"/>
          <w:sz w:val="24"/>
          <w:szCs w:val="24"/>
        </w:rPr>
        <w:t>operation time</w:t>
      </w:r>
      <w:r w:rsidR="00E26927" w:rsidRPr="00E26927">
        <w:rPr>
          <w:rFonts w:cstheme="minorHAnsi"/>
          <w:sz w:val="24"/>
          <w:szCs w:val="24"/>
        </w:rPr>
        <w:t>,</w:t>
      </w:r>
      <w:r w:rsidR="00E26927">
        <w:rPr>
          <w:rFonts w:cstheme="minorHAnsi"/>
          <w:sz w:val="24"/>
          <w:szCs w:val="24"/>
        </w:rPr>
        <w:t xml:space="preserve"> and </w:t>
      </w:r>
      <w:r w:rsidR="00971C25">
        <w:rPr>
          <w:rFonts w:cstheme="minorHAnsi"/>
          <w:sz w:val="24"/>
          <w:szCs w:val="24"/>
        </w:rPr>
        <w:t xml:space="preserve">hospital length of stay </w:t>
      </w:r>
      <w:r w:rsidR="00E26927">
        <w:rPr>
          <w:rFonts w:cstheme="minorHAnsi"/>
          <w:sz w:val="24"/>
          <w:szCs w:val="24"/>
        </w:rPr>
        <w:t>)</w:t>
      </w:r>
      <w:r w:rsidR="00971C25">
        <w:rPr>
          <w:rFonts w:cstheme="minorHAnsi"/>
          <w:sz w:val="24"/>
          <w:szCs w:val="24"/>
        </w:rPr>
        <w:t>, 6) main outcomes of interest: stable complete remission (CSR) and pharmacological remission (PR), and 7) risk of bias indicators.</w:t>
      </w:r>
    </w:p>
    <w:p w14:paraId="13F5453C" w14:textId="61264E5C" w:rsidR="00DB579A" w:rsidRDefault="007403DD" w:rsidP="00E26927">
      <w:pPr>
        <w:spacing w:line="480" w:lineRule="auto"/>
        <w:rPr>
          <w:rFonts w:cstheme="minorHAnsi"/>
          <w:b/>
          <w:bCs/>
          <w:sz w:val="24"/>
          <w:szCs w:val="24"/>
        </w:rPr>
      </w:pPr>
      <w:r w:rsidRPr="007403DD">
        <w:rPr>
          <w:rFonts w:cstheme="minorHAnsi"/>
          <w:b/>
          <w:bCs/>
          <w:sz w:val="24"/>
          <w:szCs w:val="24"/>
        </w:rPr>
        <w:t>Data management</w:t>
      </w:r>
    </w:p>
    <w:p w14:paraId="7CB5CF44" w14:textId="06A17198" w:rsidR="00971C25" w:rsidRDefault="00971C25" w:rsidP="00F248D8">
      <w:pPr>
        <w:spacing w:line="480" w:lineRule="auto"/>
        <w:rPr>
          <w:rFonts w:cstheme="minorHAnsi"/>
          <w:sz w:val="24"/>
          <w:szCs w:val="24"/>
        </w:rPr>
      </w:pPr>
      <w:r>
        <w:rPr>
          <w:rFonts w:cstheme="minorHAnsi"/>
          <w:sz w:val="24"/>
          <w:szCs w:val="24"/>
        </w:rPr>
        <w:t xml:space="preserve">Extracted data was later classified based on different definitions. Signs and symptoms were grouped </w:t>
      </w:r>
      <w:proofErr w:type="gramStart"/>
      <w:r>
        <w:rPr>
          <w:rFonts w:cstheme="minorHAnsi"/>
          <w:sz w:val="24"/>
          <w:szCs w:val="24"/>
        </w:rPr>
        <w:t>according  to</w:t>
      </w:r>
      <w:proofErr w:type="gramEnd"/>
      <w:r>
        <w:rPr>
          <w:rFonts w:cstheme="minorHAnsi"/>
          <w:sz w:val="24"/>
          <w:szCs w:val="24"/>
        </w:rPr>
        <w:t xml:space="preserve"> the</w:t>
      </w:r>
      <w:r w:rsidR="007403DD">
        <w:rPr>
          <w:rFonts w:cstheme="minorHAnsi"/>
          <w:sz w:val="24"/>
          <w:szCs w:val="24"/>
        </w:rPr>
        <w:t xml:space="preserve"> Osserman </w:t>
      </w:r>
      <w:commentRangeStart w:id="2"/>
      <w:r w:rsidR="007403DD">
        <w:rPr>
          <w:rFonts w:cstheme="minorHAnsi"/>
          <w:sz w:val="24"/>
          <w:szCs w:val="24"/>
        </w:rPr>
        <w:t>score</w:t>
      </w:r>
      <w:commentRangeEnd w:id="2"/>
      <w:r w:rsidR="00510B71">
        <w:rPr>
          <w:rStyle w:val="CommentReference"/>
        </w:rPr>
        <w:commentReference w:id="2"/>
      </w:r>
      <w:r w:rsidR="007403DD">
        <w:rPr>
          <w:rFonts w:cstheme="minorHAnsi"/>
          <w:sz w:val="24"/>
          <w:szCs w:val="24"/>
        </w:rPr>
        <w:t xml:space="preserve"> and MGFA </w:t>
      </w:r>
      <w:commentRangeStart w:id="3"/>
      <w:r w:rsidR="007403DD">
        <w:rPr>
          <w:rFonts w:cstheme="minorHAnsi"/>
          <w:sz w:val="24"/>
          <w:szCs w:val="24"/>
        </w:rPr>
        <w:t>classification</w:t>
      </w:r>
      <w:commentRangeEnd w:id="3"/>
      <w:r w:rsidR="00510B71">
        <w:rPr>
          <w:rStyle w:val="CommentReference"/>
        </w:rPr>
        <w:commentReference w:id="3"/>
      </w:r>
      <w:r w:rsidR="0078579F">
        <w:rPr>
          <w:rFonts w:cstheme="minorHAnsi"/>
          <w:sz w:val="24"/>
          <w:szCs w:val="24"/>
        </w:rPr>
        <w:t xml:space="preserve">. Surgical techniques were classified in three main groups to ease interpretation and comparisons among </w:t>
      </w:r>
      <w:commentRangeStart w:id="4"/>
      <w:r w:rsidR="0078579F">
        <w:rPr>
          <w:rFonts w:cstheme="minorHAnsi"/>
          <w:sz w:val="24"/>
          <w:szCs w:val="24"/>
        </w:rPr>
        <w:t>approaches</w:t>
      </w:r>
      <w:commentRangeEnd w:id="4"/>
      <w:r w:rsidR="0078579F">
        <w:rPr>
          <w:rStyle w:val="CommentReference"/>
        </w:rPr>
        <w:commentReference w:id="4"/>
      </w:r>
      <w:r w:rsidR="0078579F">
        <w:rPr>
          <w:rFonts w:cstheme="minorHAnsi"/>
          <w:sz w:val="24"/>
          <w:szCs w:val="24"/>
        </w:rPr>
        <w:t>….</w:t>
      </w:r>
    </w:p>
    <w:p w14:paraId="7D5CFEE1" w14:textId="76C548A2" w:rsidR="00F74F3A" w:rsidRDefault="0023195E" w:rsidP="00F248D8">
      <w:pPr>
        <w:spacing w:line="480" w:lineRule="auto"/>
        <w:rPr>
          <w:rFonts w:cstheme="minorHAnsi"/>
          <w:sz w:val="24"/>
          <w:szCs w:val="24"/>
        </w:rPr>
      </w:pPr>
      <w:commentRangeStart w:id="5"/>
      <w:r>
        <w:rPr>
          <w:rFonts w:cstheme="minorHAnsi"/>
          <w:sz w:val="24"/>
          <w:szCs w:val="24"/>
        </w:rPr>
        <w:t xml:space="preserve">Complete stable remission and pharmacological remission were classified according </w:t>
      </w:r>
      <w:r w:rsidRPr="0023195E">
        <w:rPr>
          <w:rFonts w:cstheme="minorHAnsi"/>
          <w:sz w:val="24"/>
          <w:szCs w:val="24"/>
        </w:rPr>
        <w:t xml:space="preserve">MGFA Postintervention </w:t>
      </w:r>
      <w:commentRangeStart w:id="6"/>
      <w:r w:rsidRPr="0023195E">
        <w:rPr>
          <w:rFonts w:cstheme="minorHAnsi"/>
          <w:sz w:val="24"/>
          <w:szCs w:val="24"/>
        </w:rPr>
        <w:t>Status</w:t>
      </w:r>
      <w:commentRangeEnd w:id="6"/>
      <w:r>
        <w:rPr>
          <w:rStyle w:val="CommentReference"/>
        </w:rPr>
        <w:commentReference w:id="6"/>
      </w:r>
      <w:commentRangeEnd w:id="5"/>
      <w:r w:rsidR="0078579F">
        <w:rPr>
          <w:rStyle w:val="CommentReference"/>
        </w:rPr>
        <w:commentReference w:id="5"/>
      </w:r>
      <w:r>
        <w:rPr>
          <w:rFonts w:cstheme="minorHAnsi"/>
          <w:sz w:val="24"/>
          <w:szCs w:val="24"/>
        </w:rPr>
        <w:t xml:space="preserve">. </w:t>
      </w:r>
      <w:commentRangeStart w:id="7"/>
      <w:r>
        <w:rPr>
          <w:rFonts w:cstheme="minorHAnsi"/>
          <w:sz w:val="24"/>
          <w:szCs w:val="24"/>
        </w:rPr>
        <w:t>Furthermore, it was</w:t>
      </w:r>
      <w:r w:rsidRPr="0023195E">
        <w:rPr>
          <w:rFonts w:cstheme="minorHAnsi"/>
          <w:sz w:val="24"/>
          <w:szCs w:val="24"/>
        </w:rPr>
        <w:t xml:space="preserve"> analyzed by Kaplan Meier analysis (KM) where 3-year results </w:t>
      </w:r>
      <w:r w:rsidR="002B3AA8">
        <w:rPr>
          <w:rFonts w:cstheme="minorHAnsi"/>
          <w:sz w:val="24"/>
          <w:szCs w:val="24"/>
        </w:rPr>
        <w:t>were</w:t>
      </w:r>
      <w:r w:rsidR="002B3AA8" w:rsidRPr="0023195E">
        <w:rPr>
          <w:rFonts w:cstheme="minorHAnsi"/>
          <w:sz w:val="24"/>
          <w:szCs w:val="24"/>
        </w:rPr>
        <w:t xml:space="preserve"> </w:t>
      </w:r>
      <w:r w:rsidRPr="0023195E">
        <w:rPr>
          <w:rFonts w:cstheme="minorHAnsi"/>
          <w:sz w:val="24"/>
          <w:szCs w:val="24"/>
        </w:rPr>
        <w:t xml:space="preserve">either reported or </w:t>
      </w:r>
      <w:r w:rsidR="002B3AA8">
        <w:rPr>
          <w:rFonts w:cstheme="minorHAnsi"/>
          <w:sz w:val="24"/>
          <w:szCs w:val="24"/>
        </w:rPr>
        <w:t>could</w:t>
      </w:r>
      <w:r w:rsidR="002B3AA8" w:rsidRPr="0023195E">
        <w:rPr>
          <w:rFonts w:cstheme="minorHAnsi"/>
          <w:sz w:val="24"/>
          <w:szCs w:val="24"/>
        </w:rPr>
        <w:t xml:space="preserve"> </w:t>
      </w:r>
      <w:r w:rsidRPr="0023195E">
        <w:rPr>
          <w:rFonts w:cstheme="minorHAnsi"/>
          <w:sz w:val="24"/>
          <w:szCs w:val="24"/>
        </w:rPr>
        <w:t xml:space="preserve">be collected from a graph; or crude cumulative “survival” analysis without KM </w:t>
      </w:r>
      <w:r>
        <w:rPr>
          <w:rFonts w:cstheme="minorHAnsi"/>
          <w:sz w:val="24"/>
          <w:szCs w:val="24"/>
        </w:rPr>
        <w:t>was</w:t>
      </w:r>
      <w:r w:rsidRPr="0023195E">
        <w:rPr>
          <w:rFonts w:cstheme="minorHAnsi"/>
          <w:sz w:val="24"/>
          <w:szCs w:val="24"/>
        </w:rPr>
        <w:t xml:space="preserve"> acceptable if all patients reported have been followed for at least 3 years (</w:t>
      </w:r>
      <w:r>
        <w:rPr>
          <w:rFonts w:cstheme="minorHAnsi"/>
          <w:sz w:val="24"/>
          <w:szCs w:val="24"/>
        </w:rPr>
        <w:t xml:space="preserve">we </w:t>
      </w:r>
      <w:r w:rsidRPr="0023195E">
        <w:rPr>
          <w:rFonts w:cstheme="minorHAnsi"/>
          <w:sz w:val="24"/>
          <w:szCs w:val="24"/>
        </w:rPr>
        <w:t>collect</w:t>
      </w:r>
      <w:r>
        <w:rPr>
          <w:rFonts w:cstheme="minorHAnsi"/>
          <w:sz w:val="24"/>
          <w:szCs w:val="24"/>
        </w:rPr>
        <w:t>ed</w:t>
      </w:r>
      <w:r w:rsidRPr="0023195E">
        <w:rPr>
          <w:rFonts w:cstheme="minorHAnsi"/>
          <w:sz w:val="24"/>
          <w:szCs w:val="24"/>
        </w:rPr>
        <w:t xml:space="preserve"> also</w:t>
      </w:r>
      <w:r>
        <w:rPr>
          <w:rFonts w:cstheme="minorHAnsi"/>
          <w:sz w:val="24"/>
          <w:szCs w:val="24"/>
        </w:rPr>
        <w:t xml:space="preserve"> &gt; 3</w:t>
      </w:r>
      <w:r w:rsidRPr="0023195E">
        <w:rPr>
          <w:rFonts w:cstheme="minorHAnsi"/>
          <w:sz w:val="24"/>
          <w:szCs w:val="24"/>
        </w:rPr>
        <w:t xml:space="preserve"> years KM and </w:t>
      </w:r>
      <w:r>
        <w:rPr>
          <w:rFonts w:cstheme="minorHAnsi"/>
          <w:sz w:val="24"/>
          <w:szCs w:val="24"/>
        </w:rPr>
        <w:t xml:space="preserve">&gt; 3 </w:t>
      </w:r>
      <w:r w:rsidRPr="0023195E">
        <w:rPr>
          <w:rFonts w:cstheme="minorHAnsi"/>
          <w:sz w:val="24"/>
          <w:szCs w:val="24"/>
        </w:rPr>
        <w:t>years cumulative for papers that ha</w:t>
      </w:r>
      <w:r>
        <w:rPr>
          <w:rFonts w:cstheme="minorHAnsi"/>
          <w:sz w:val="24"/>
          <w:szCs w:val="24"/>
        </w:rPr>
        <w:t>d</w:t>
      </w:r>
      <w:r w:rsidRPr="0023195E">
        <w:rPr>
          <w:rFonts w:cstheme="minorHAnsi"/>
          <w:sz w:val="24"/>
          <w:szCs w:val="24"/>
        </w:rPr>
        <w:t xml:space="preserve"> this data available)</w:t>
      </w:r>
      <w:r w:rsidR="00EF4182">
        <w:rPr>
          <w:rFonts w:cstheme="minorHAnsi"/>
          <w:sz w:val="24"/>
          <w:szCs w:val="24"/>
        </w:rPr>
        <w:t>.</w:t>
      </w:r>
      <w:commentRangeEnd w:id="7"/>
      <w:r w:rsidR="0078579F">
        <w:rPr>
          <w:rStyle w:val="CommentReference"/>
        </w:rPr>
        <w:commentReference w:id="7"/>
      </w:r>
    </w:p>
    <w:p w14:paraId="79FBE1FD" w14:textId="77777777" w:rsidR="00ED6E28" w:rsidRPr="00ED6E28" w:rsidRDefault="000F5DB2" w:rsidP="00F248D8">
      <w:pPr>
        <w:spacing w:line="480" w:lineRule="auto"/>
        <w:rPr>
          <w:rFonts w:cstheme="minorHAnsi"/>
          <w:b/>
          <w:bCs/>
          <w:sz w:val="24"/>
          <w:szCs w:val="24"/>
        </w:rPr>
      </w:pPr>
      <w:r w:rsidRPr="00ED6E28">
        <w:rPr>
          <w:rFonts w:cstheme="minorHAnsi"/>
          <w:b/>
          <w:bCs/>
          <w:sz w:val="24"/>
          <w:szCs w:val="24"/>
        </w:rPr>
        <w:t xml:space="preserve">Author contact </w:t>
      </w:r>
    </w:p>
    <w:p w14:paraId="1423F38F" w14:textId="1C5862DC" w:rsidR="000F5DB2" w:rsidRDefault="0078579F" w:rsidP="00F248D8">
      <w:pPr>
        <w:spacing w:line="480" w:lineRule="auto"/>
        <w:rPr>
          <w:rFonts w:cstheme="minorHAnsi"/>
          <w:sz w:val="24"/>
          <w:szCs w:val="24"/>
        </w:rPr>
      </w:pPr>
      <w:r>
        <w:rPr>
          <w:rFonts w:cstheme="minorHAnsi"/>
          <w:sz w:val="24"/>
          <w:szCs w:val="24"/>
        </w:rPr>
        <w:t xml:space="preserve">We decided to contact authors because </w:t>
      </w:r>
      <w:r w:rsidR="00877965">
        <w:rPr>
          <w:rFonts w:cstheme="minorHAnsi"/>
          <w:sz w:val="24"/>
          <w:szCs w:val="24"/>
        </w:rPr>
        <w:t xml:space="preserve">the </w:t>
      </w:r>
      <w:r>
        <w:rPr>
          <w:rFonts w:cstheme="minorHAnsi"/>
          <w:sz w:val="24"/>
          <w:szCs w:val="24"/>
        </w:rPr>
        <w:t xml:space="preserve">estimates of effect sizes were missing </w:t>
      </w:r>
      <w:r w:rsidR="00877965">
        <w:rPr>
          <w:rFonts w:cstheme="minorHAnsi"/>
          <w:sz w:val="24"/>
          <w:szCs w:val="24"/>
        </w:rPr>
        <w:t xml:space="preserve">or not clear </w:t>
      </w:r>
      <w:r>
        <w:rPr>
          <w:rFonts w:cstheme="minorHAnsi"/>
          <w:sz w:val="24"/>
          <w:szCs w:val="24"/>
        </w:rPr>
        <w:t xml:space="preserve">in </w:t>
      </w:r>
      <w:r w:rsidR="00877965">
        <w:rPr>
          <w:rFonts w:cstheme="minorHAnsi"/>
          <w:sz w:val="24"/>
          <w:szCs w:val="24"/>
        </w:rPr>
        <w:t>all</w:t>
      </w:r>
      <w:r>
        <w:rPr>
          <w:rFonts w:cstheme="minorHAnsi"/>
          <w:sz w:val="24"/>
          <w:szCs w:val="24"/>
        </w:rPr>
        <w:t xml:space="preserve"> included articles</w:t>
      </w:r>
      <w:r w:rsidR="00877965">
        <w:rPr>
          <w:rFonts w:cstheme="minorHAnsi"/>
          <w:sz w:val="24"/>
          <w:szCs w:val="24"/>
        </w:rPr>
        <w:t xml:space="preserve">. Additionally, an author of one study was contacted to clarify the published information. </w:t>
      </w:r>
      <w:r>
        <w:rPr>
          <w:rFonts w:cstheme="minorHAnsi"/>
          <w:sz w:val="24"/>
          <w:szCs w:val="24"/>
        </w:rPr>
        <w:t xml:space="preserve">First, we retrieved first and last names, </w:t>
      </w:r>
      <w:proofErr w:type="gramStart"/>
      <w:r>
        <w:rPr>
          <w:rFonts w:cstheme="minorHAnsi"/>
          <w:sz w:val="24"/>
          <w:szCs w:val="24"/>
        </w:rPr>
        <w:t>e-mails</w:t>
      </w:r>
      <w:proofErr w:type="gramEnd"/>
      <w:r>
        <w:rPr>
          <w:rFonts w:cstheme="minorHAnsi"/>
          <w:sz w:val="24"/>
          <w:szCs w:val="24"/>
        </w:rPr>
        <w:t xml:space="preserve"> and telephone numbers of corresponding authors into a database. Second, we emailed each author asking to share the effect sizes of assessing the association of different treatment approaches with achieving complete stable remission</w:t>
      </w:r>
      <w:proofErr w:type="gramStart"/>
      <w:r>
        <w:rPr>
          <w:rFonts w:cstheme="minorHAnsi"/>
          <w:sz w:val="24"/>
          <w:szCs w:val="24"/>
        </w:rPr>
        <w:t xml:space="preserve">. </w:t>
      </w:r>
      <w:r w:rsidR="000F5DB2" w:rsidRPr="000F5DB2">
        <w:rPr>
          <w:rFonts w:cstheme="minorHAnsi"/>
          <w:sz w:val="24"/>
          <w:szCs w:val="24"/>
        </w:rPr>
        <w:t>.</w:t>
      </w:r>
      <w:proofErr w:type="gramEnd"/>
      <w:r w:rsidR="00877965">
        <w:rPr>
          <w:rFonts w:cstheme="minorHAnsi"/>
          <w:sz w:val="24"/>
          <w:szCs w:val="24"/>
        </w:rPr>
        <w:t xml:space="preserve"> If authors failed to respond in a 2-week period, we decided to contact them by sending a second e-mail. If authors did not reply after 1 week, we sent a last email. Third, only those who did not respond our e-mail contact approach were </w:t>
      </w:r>
      <w:r w:rsidR="00896695">
        <w:rPr>
          <w:rFonts w:cstheme="minorHAnsi"/>
          <w:sz w:val="24"/>
          <w:szCs w:val="24"/>
        </w:rPr>
        <w:t>contacted by phone.</w:t>
      </w:r>
    </w:p>
    <w:p w14:paraId="35377AFE" w14:textId="0F9890DA" w:rsidR="00877965" w:rsidRDefault="00877965" w:rsidP="00F248D8">
      <w:pPr>
        <w:spacing w:line="480" w:lineRule="auto"/>
        <w:rPr>
          <w:rFonts w:cstheme="minorHAnsi"/>
          <w:sz w:val="24"/>
          <w:szCs w:val="24"/>
        </w:rPr>
      </w:pPr>
      <w:r>
        <w:rPr>
          <w:rFonts w:cstheme="minorHAnsi"/>
          <w:sz w:val="24"/>
          <w:szCs w:val="24"/>
        </w:rPr>
        <w:t>Only two authors (2/15) responded and shared their data.</w:t>
      </w:r>
    </w:p>
    <w:p w14:paraId="7C20900F" w14:textId="77777777" w:rsidR="00EF4182" w:rsidRPr="00EF4182" w:rsidRDefault="00EF4182" w:rsidP="00EF4182">
      <w:pPr>
        <w:spacing w:line="480" w:lineRule="auto"/>
        <w:rPr>
          <w:rFonts w:cstheme="minorHAnsi"/>
          <w:b/>
          <w:bCs/>
          <w:sz w:val="24"/>
          <w:szCs w:val="24"/>
        </w:rPr>
      </w:pPr>
      <w:r w:rsidRPr="00EF4182">
        <w:rPr>
          <w:rFonts w:cstheme="minorHAnsi"/>
          <w:b/>
          <w:bCs/>
          <w:sz w:val="24"/>
          <w:szCs w:val="24"/>
        </w:rPr>
        <w:t xml:space="preserve">Risk of bias in individual studies </w:t>
      </w:r>
    </w:p>
    <w:p w14:paraId="44D13F6C" w14:textId="6ACC03F7" w:rsidR="002A06BC" w:rsidRDefault="00EF4182" w:rsidP="00EF4182">
      <w:pPr>
        <w:spacing w:line="480" w:lineRule="auto"/>
        <w:rPr>
          <w:rFonts w:cstheme="minorHAnsi"/>
          <w:sz w:val="24"/>
          <w:szCs w:val="24"/>
        </w:rPr>
      </w:pPr>
      <w:r w:rsidRPr="00EF4182">
        <w:rPr>
          <w:rFonts w:cstheme="minorHAnsi"/>
          <w:sz w:val="24"/>
          <w:szCs w:val="24"/>
        </w:rPr>
        <w:t>Study quality was assessed by two independent reviewers</w:t>
      </w:r>
      <w:r w:rsidR="00877965">
        <w:rPr>
          <w:rFonts w:cstheme="minorHAnsi"/>
          <w:sz w:val="24"/>
          <w:szCs w:val="24"/>
        </w:rPr>
        <w:t xml:space="preserve"> (XXXX)</w:t>
      </w:r>
      <w:r w:rsidRPr="00EF4182">
        <w:rPr>
          <w:rFonts w:cstheme="minorHAnsi"/>
          <w:sz w:val="24"/>
          <w:szCs w:val="24"/>
        </w:rPr>
        <w:t xml:space="preserve"> based on </w:t>
      </w:r>
      <w:r>
        <w:rPr>
          <w:rFonts w:cstheme="minorHAnsi"/>
          <w:sz w:val="24"/>
          <w:szCs w:val="24"/>
        </w:rPr>
        <w:t xml:space="preserve">CLARITY </w:t>
      </w:r>
      <w:commentRangeStart w:id="8"/>
      <w:r>
        <w:rPr>
          <w:rFonts w:cstheme="minorHAnsi"/>
          <w:sz w:val="24"/>
          <w:szCs w:val="24"/>
        </w:rPr>
        <w:t>tool</w:t>
      </w:r>
      <w:commentRangeEnd w:id="8"/>
      <w:r w:rsidR="00B466AA">
        <w:rPr>
          <w:rStyle w:val="CommentReference"/>
        </w:rPr>
        <w:commentReference w:id="8"/>
      </w:r>
      <w:r>
        <w:rPr>
          <w:rFonts w:cstheme="minorHAnsi"/>
          <w:sz w:val="24"/>
          <w:szCs w:val="24"/>
        </w:rPr>
        <w:t xml:space="preserve"> </w:t>
      </w:r>
      <w:r w:rsidRPr="00EF4182">
        <w:rPr>
          <w:rFonts w:cstheme="minorHAnsi"/>
          <w:sz w:val="24"/>
          <w:szCs w:val="24"/>
        </w:rPr>
        <w:t>for cohort-studies</w:t>
      </w:r>
      <w:r w:rsidR="002A06BC">
        <w:rPr>
          <w:rFonts w:cstheme="minorHAnsi"/>
          <w:sz w:val="24"/>
          <w:szCs w:val="24"/>
        </w:rPr>
        <w:t xml:space="preserve"> and case-control </w:t>
      </w:r>
      <w:commentRangeStart w:id="9"/>
      <w:r w:rsidR="002A06BC">
        <w:rPr>
          <w:rFonts w:cstheme="minorHAnsi"/>
          <w:sz w:val="24"/>
          <w:szCs w:val="24"/>
        </w:rPr>
        <w:t>studies</w:t>
      </w:r>
      <w:commentRangeEnd w:id="9"/>
      <w:r w:rsidR="00B466AA">
        <w:rPr>
          <w:rStyle w:val="CommentReference"/>
        </w:rPr>
        <w:commentReference w:id="9"/>
      </w:r>
      <w:r w:rsidR="002A06BC">
        <w:rPr>
          <w:rFonts w:cstheme="minorHAnsi"/>
          <w:sz w:val="24"/>
          <w:szCs w:val="24"/>
        </w:rPr>
        <w:t>. T</w:t>
      </w:r>
      <w:r w:rsidR="002A06BC" w:rsidRPr="002A06BC">
        <w:rPr>
          <w:rFonts w:cstheme="minorHAnsi"/>
          <w:sz w:val="24"/>
          <w:szCs w:val="24"/>
        </w:rPr>
        <w:t xml:space="preserve">he domains for cohort studies are: :1) selection of exposed and non-exposed cohorts drawn from the same population; 2) assessment of exposure; 3) </w:t>
      </w:r>
      <w:r w:rsidR="00877965">
        <w:rPr>
          <w:rFonts w:cstheme="minorHAnsi"/>
          <w:sz w:val="24"/>
          <w:szCs w:val="24"/>
        </w:rPr>
        <w:t xml:space="preserve">if our </w:t>
      </w:r>
      <w:r w:rsidR="002A06BC" w:rsidRPr="002A06BC">
        <w:rPr>
          <w:rFonts w:cstheme="minorHAnsi"/>
          <w:sz w:val="24"/>
          <w:szCs w:val="24"/>
        </w:rPr>
        <w:t>outcome of interest was not present at start of study; 4) matching exposed and unexposed for all variables that are associated with the outcome of interest or statistical adjustment for these prognostic variables; 5) assessment of the presence or absence of prognostic factors; 6) assessment of the outcome; 7) adequate follow up of cohorts; and 8) similarity of co-interventions between groups</w:t>
      </w:r>
      <w:r w:rsidR="002A06BC">
        <w:rPr>
          <w:rFonts w:cstheme="minorHAnsi"/>
          <w:sz w:val="24"/>
          <w:szCs w:val="24"/>
        </w:rPr>
        <w:t>; and t</w:t>
      </w:r>
      <w:r w:rsidR="002A06BC" w:rsidRPr="002A06BC">
        <w:rPr>
          <w:rFonts w:cstheme="minorHAnsi"/>
          <w:sz w:val="24"/>
          <w:szCs w:val="24"/>
        </w:rPr>
        <w:t>he domains for case-control assessment include: 1) assessment of exposure; 2) assurance that cases had developed the outcome of interest and controls had not; 3) adequate selection of cases; 4) adequate selection of controls; and 5) matching of cases and controls according to important prognostic variables or statistical adjustment for those variables</w:t>
      </w:r>
      <w:r w:rsidR="002A06BC">
        <w:rPr>
          <w:rFonts w:cstheme="minorHAnsi"/>
          <w:sz w:val="24"/>
          <w:szCs w:val="24"/>
        </w:rPr>
        <w:t xml:space="preserve">. </w:t>
      </w:r>
    </w:p>
    <w:p w14:paraId="7464AFEF" w14:textId="3430FE3B" w:rsidR="00243B7C" w:rsidRDefault="00243B7C" w:rsidP="00EF4182">
      <w:pPr>
        <w:spacing w:line="480" w:lineRule="auto"/>
        <w:rPr>
          <w:rFonts w:cstheme="minorHAnsi"/>
          <w:sz w:val="24"/>
          <w:szCs w:val="24"/>
        </w:rPr>
      </w:pPr>
    </w:p>
    <w:p w14:paraId="5FA737B0" w14:textId="47C2D055" w:rsidR="00243B7C" w:rsidRDefault="00243B7C" w:rsidP="00EF4182">
      <w:pPr>
        <w:spacing w:line="480" w:lineRule="auto"/>
        <w:rPr>
          <w:rFonts w:cstheme="minorHAnsi"/>
          <w:sz w:val="24"/>
          <w:szCs w:val="24"/>
        </w:rPr>
      </w:pPr>
      <w:r>
        <w:rPr>
          <w:rFonts w:cstheme="minorHAnsi"/>
          <w:sz w:val="24"/>
          <w:szCs w:val="24"/>
        </w:rPr>
        <w:t>The original responses for these questions were yes, probably yes</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Howevere</w:t>
      </w:r>
      <w:proofErr w:type="spellEnd"/>
      <w:r>
        <w:rPr>
          <w:rFonts w:cstheme="minorHAnsi"/>
          <w:sz w:val="24"/>
          <w:szCs w:val="24"/>
        </w:rPr>
        <w:t>, we decided to change to….</w:t>
      </w:r>
    </w:p>
    <w:p w14:paraId="2ADDC68F" w14:textId="5A53E5E4" w:rsidR="00243B7C" w:rsidRDefault="00243B7C" w:rsidP="00EF4182">
      <w:pPr>
        <w:spacing w:line="480" w:lineRule="auto"/>
        <w:rPr>
          <w:rFonts w:cstheme="minorHAnsi"/>
          <w:sz w:val="24"/>
          <w:szCs w:val="24"/>
        </w:rPr>
      </w:pPr>
      <w:r>
        <w:rPr>
          <w:rFonts w:cstheme="minorHAnsi"/>
          <w:sz w:val="24"/>
          <w:szCs w:val="24"/>
        </w:rPr>
        <w:t xml:space="preserve"> We classified the overall risk of bias based on the following criteria: 1) High risk of bias, at least one domain found at high risk of bias, 2) intermediate risk, at least two </w:t>
      </w:r>
    </w:p>
    <w:p w14:paraId="160C7153" w14:textId="1C35C73F" w:rsidR="00243B7C" w:rsidRDefault="00243B7C" w:rsidP="00EF4182">
      <w:pPr>
        <w:spacing w:line="480" w:lineRule="auto"/>
        <w:rPr>
          <w:rFonts w:cstheme="minorHAnsi"/>
          <w:b/>
          <w:bCs/>
          <w:sz w:val="24"/>
          <w:szCs w:val="24"/>
        </w:rPr>
      </w:pPr>
      <w:r w:rsidRPr="001410CF">
        <w:rPr>
          <w:rFonts w:cstheme="minorHAnsi"/>
          <w:b/>
          <w:bCs/>
          <w:sz w:val="24"/>
          <w:szCs w:val="24"/>
        </w:rPr>
        <w:t>GRADE</w:t>
      </w:r>
    </w:p>
    <w:p w14:paraId="39CA0946" w14:textId="091D4988" w:rsidR="00243B7C" w:rsidRPr="001410CF" w:rsidRDefault="00243B7C" w:rsidP="00515B40">
      <w:pPr>
        <w:spacing w:line="480" w:lineRule="auto"/>
        <w:rPr>
          <w:rFonts w:cstheme="minorHAnsi"/>
          <w:sz w:val="24"/>
          <w:szCs w:val="24"/>
        </w:rPr>
      </w:pPr>
    </w:p>
    <w:p w14:paraId="50D0AA3E" w14:textId="52845552" w:rsidR="00515B40" w:rsidRPr="00515B40" w:rsidRDefault="00515B40" w:rsidP="00515B40">
      <w:pPr>
        <w:spacing w:line="480" w:lineRule="auto"/>
        <w:rPr>
          <w:rFonts w:cstheme="minorHAnsi"/>
          <w:b/>
          <w:bCs/>
          <w:sz w:val="24"/>
          <w:szCs w:val="24"/>
        </w:rPr>
      </w:pPr>
      <w:r w:rsidRPr="00515B40">
        <w:rPr>
          <w:rFonts w:cstheme="minorHAnsi"/>
          <w:b/>
          <w:bCs/>
          <w:sz w:val="24"/>
          <w:szCs w:val="24"/>
        </w:rPr>
        <w:t xml:space="preserve">Statistical analyses </w:t>
      </w:r>
    </w:p>
    <w:p w14:paraId="2A063550" w14:textId="38746683" w:rsidR="007E2544" w:rsidRDefault="007E2544" w:rsidP="007E2544">
      <w:pPr>
        <w:spacing w:line="480" w:lineRule="auto"/>
        <w:rPr>
          <w:rFonts w:cstheme="minorHAnsi"/>
          <w:sz w:val="24"/>
          <w:szCs w:val="24"/>
        </w:rPr>
      </w:pPr>
      <w:r w:rsidRPr="007E2544">
        <w:rPr>
          <w:rFonts w:cstheme="minorHAnsi"/>
          <w:sz w:val="24"/>
          <w:szCs w:val="24"/>
        </w:rPr>
        <w:t>For time-to-event outcomes, we will follow the recommendations given by Tierney et al. First, we will convert</w:t>
      </w:r>
      <w:r>
        <w:rPr>
          <w:rFonts w:cstheme="minorHAnsi"/>
          <w:sz w:val="24"/>
          <w:szCs w:val="24"/>
        </w:rPr>
        <w:t xml:space="preserve"> </w:t>
      </w:r>
      <w:r w:rsidRPr="007E2544">
        <w:rPr>
          <w:rFonts w:cstheme="minorHAnsi"/>
          <w:sz w:val="24"/>
          <w:szCs w:val="24"/>
        </w:rPr>
        <w:t>all reported hazard ratios (HRs) into their log forms and calculate the variance (Vs) of the logHR from the</w:t>
      </w:r>
      <w:r>
        <w:rPr>
          <w:rFonts w:cstheme="minorHAnsi"/>
          <w:sz w:val="24"/>
          <w:szCs w:val="24"/>
        </w:rPr>
        <w:t xml:space="preserve"> </w:t>
      </w:r>
      <w:r w:rsidRPr="007E2544">
        <w:rPr>
          <w:rFonts w:cstheme="minorHAnsi"/>
          <w:sz w:val="24"/>
          <w:szCs w:val="24"/>
        </w:rPr>
        <w:t>reported confidence intervals and then combine them in a random effects meta-analysis. When this data is</w:t>
      </w:r>
      <w:r>
        <w:rPr>
          <w:rFonts w:cstheme="minorHAnsi"/>
          <w:sz w:val="24"/>
          <w:szCs w:val="24"/>
        </w:rPr>
        <w:t xml:space="preserve"> </w:t>
      </w:r>
      <w:r w:rsidRPr="007E2544">
        <w:rPr>
          <w:rFonts w:cstheme="minorHAnsi"/>
          <w:sz w:val="24"/>
          <w:szCs w:val="24"/>
        </w:rPr>
        <w:t xml:space="preserve">not published, we will use the observed (O) and </w:t>
      </w:r>
      <w:r w:rsidR="006520BD" w:rsidRPr="007E2544">
        <w:rPr>
          <w:rFonts w:cstheme="minorHAnsi"/>
          <w:sz w:val="24"/>
          <w:szCs w:val="24"/>
        </w:rPr>
        <w:t>log rank</w:t>
      </w:r>
      <w:r w:rsidRPr="007E2544">
        <w:rPr>
          <w:rFonts w:cstheme="minorHAnsi"/>
          <w:sz w:val="24"/>
          <w:szCs w:val="24"/>
        </w:rPr>
        <w:t xml:space="preserve"> expected events (E) to calculate the corresponding</w:t>
      </w:r>
      <w:r>
        <w:rPr>
          <w:rFonts w:cstheme="minorHAnsi"/>
          <w:sz w:val="24"/>
          <w:szCs w:val="24"/>
        </w:rPr>
        <w:t xml:space="preserve"> </w:t>
      </w:r>
      <w:r w:rsidRPr="007E2544">
        <w:rPr>
          <w:rFonts w:cstheme="minorHAnsi"/>
          <w:sz w:val="24"/>
          <w:szCs w:val="24"/>
        </w:rPr>
        <w:t>hazard ratios and variances. Lastly, if only</w:t>
      </w:r>
      <w:r w:rsidR="0017123E">
        <w:rPr>
          <w:rFonts w:cstheme="minorHAnsi"/>
          <w:sz w:val="24"/>
          <w:szCs w:val="24"/>
        </w:rPr>
        <w:t xml:space="preserve"> </w:t>
      </w:r>
      <w:r w:rsidRPr="007E2544">
        <w:rPr>
          <w:rFonts w:cstheme="minorHAnsi"/>
          <w:sz w:val="24"/>
          <w:szCs w:val="24"/>
        </w:rPr>
        <w:t>Kaplan-Meier curves are reported, we will estimate HRs and Vs of</w:t>
      </w:r>
      <w:r>
        <w:rPr>
          <w:rFonts w:cstheme="minorHAnsi"/>
          <w:sz w:val="24"/>
          <w:szCs w:val="24"/>
        </w:rPr>
        <w:t xml:space="preserve"> </w:t>
      </w:r>
      <w:r w:rsidRPr="007E2544">
        <w:rPr>
          <w:rFonts w:cstheme="minorHAnsi"/>
          <w:sz w:val="24"/>
          <w:szCs w:val="24"/>
        </w:rPr>
        <w:t>each trial by using the template published by Tierney et al. Additionally, we will calculate relative risks and</w:t>
      </w:r>
      <w:r w:rsidR="0017123E">
        <w:rPr>
          <w:rFonts w:cstheme="minorHAnsi"/>
          <w:sz w:val="24"/>
          <w:szCs w:val="24"/>
        </w:rPr>
        <w:t xml:space="preserve"> </w:t>
      </w:r>
      <w:r w:rsidRPr="007E2544">
        <w:rPr>
          <w:rFonts w:cstheme="minorHAnsi"/>
          <w:sz w:val="24"/>
          <w:szCs w:val="24"/>
        </w:rPr>
        <w:t>their confidence intervals of each trial by using specific follow-ups. We will combine this data by using</w:t>
      </w:r>
      <w:r>
        <w:rPr>
          <w:rFonts w:cstheme="minorHAnsi"/>
          <w:sz w:val="24"/>
          <w:szCs w:val="24"/>
        </w:rPr>
        <w:t xml:space="preserve"> </w:t>
      </w:r>
      <w:r w:rsidRPr="007E2544">
        <w:rPr>
          <w:rFonts w:cstheme="minorHAnsi"/>
          <w:sz w:val="24"/>
          <w:szCs w:val="24"/>
        </w:rPr>
        <w:t>random-effects meta-analysis. The I² statistic will be used to explore heterogeneity among the included</w:t>
      </w:r>
      <w:r>
        <w:rPr>
          <w:rFonts w:cstheme="minorHAnsi"/>
          <w:sz w:val="24"/>
          <w:szCs w:val="24"/>
        </w:rPr>
        <w:t xml:space="preserve"> </w:t>
      </w:r>
      <w:r w:rsidRPr="007E2544">
        <w:rPr>
          <w:rFonts w:cstheme="minorHAnsi"/>
          <w:sz w:val="24"/>
          <w:szCs w:val="24"/>
        </w:rPr>
        <w:t xml:space="preserve">studies. Subgroup analysis will be performed for the following groups. Significance tests will be </w:t>
      </w:r>
      <w:r w:rsidR="0017123E" w:rsidRPr="007E2544">
        <w:rPr>
          <w:rFonts w:cstheme="minorHAnsi"/>
          <w:sz w:val="24"/>
          <w:szCs w:val="24"/>
        </w:rPr>
        <w:t>performed</w:t>
      </w:r>
      <w:r w:rsidRPr="007E2544">
        <w:rPr>
          <w:rFonts w:cstheme="minorHAnsi"/>
          <w:sz w:val="24"/>
          <w:szCs w:val="24"/>
        </w:rPr>
        <w:t xml:space="preserve"> and</w:t>
      </w:r>
      <w:r>
        <w:rPr>
          <w:rFonts w:cstheme="minorHAnsi"/>
          <w:sz w:val="24"/>
          <w:szCs w:val="24"/>
        </w:rPr>
        <w:t xml:space="preserve"> </w:t>
      </w:r>
      <w:r w:rsidRPr="007E2544">
        <w:rPr>
          <w:rFonts w:cstheme="minorHAnsi"/>
          <w:sz w:val="24"/>
          <w:szCs w:val="24"/>
        </w:rPr>
        <w:t>reported with their corresponding p values.</w:t>
      </w:r>
    </w:p>
    <w:p w14:paraId="48FD0023" w14:textId="77777777" w:rsidR="00243B7C" w:rsidRDefault="00515B40" w:rsidP="00515B40">
      <w:pPr>
        <w:spacing w:line="480" w:lineRule="auto"/>
        <w:rPr>
          <w:rFonts w:cstheme="minorHAnsi"/>
          <w:sz w:val="24"/>
          <w:szCs w:val="24"/>
        </w:rPr>
      </w:pPr>
      <w:r w:rsidRPr="00515B40">
        <w:rPr>
          <w:rFonts w:cstheme="minorHAnsi"/>
          <w:sz w:val="24"/>
          <w:szCs w:val="24"/>
        </w:rPr>
        <w:t xml:space="preserve">Heterogeneity across studies was assessed with the I2 statistic and </w:t>
      </w:r>
      <w:commentRangeStart w:id="10"/>
      <w:r w:rsidRPr="00515B40">
        <w:rPr>
          <w:rFonts w:cstheme="minorHAnsi"/>
          <w:sz w:val="24"/>
          <w:szCs w:val="24"/>
        </w:rPr>
        <w:t>visually</w:t>
      </w:r>
      <w:commentRangeEnd w:id="10"/>
      <w:r w:rsidR="008D72A4">
        <w:rPr>
          <w:rStyle w:val="CommentReference"/>
        </w:rPr>
        <w:commentReference w:id="10"/>
      </w:r>
      <w:r w:rsidR="00B368B2">
        <w:rPr>
          <w:rFonts w:cstheme="minorHAnsi"/>
          <w:sz w:val="24"/>
          <w:szCs w:val="24"/>
        </w:rPr>
        <w:t xml:space="preserve"> </w:t>
      </w:r>
      <w:r w:rsidRPr="00515B40">
        <w:rPr>
          <w:rFonts w:cstheme="minorHAnsi"/>
          <w:sz w:val="24"/>
          <w:szCs w:val="24"/>
        </w:rPr>
        <w:t xml:space="preserve">. We considered that I2 &lt; 25% reflected low inconsistency and I2 &gt; 75% reflected high inconsistency. In terms of subgroups analyses, predefined comparisons based on age, sex, </w:t>
      </w:r>
      <w:r>
        <w:rPr>
          <w:rFonts w:cstheme="minorHAnsi"/>
          <w:sz w:val="24"/>
          <w:szCs w:val="24"/>
        </w:rPr>
        <w:t xml:space="preserve">MGFA score, Osserman score, </w:t>
      </w:r>
      <w:r w:rsidRPr="00515B40">
        <w:rPr>
          <w:rFonts w:cstheme="minorHAnsi"/>
          <w:sz w:val="24"/>
          <w:szCs w:val="24"/>
        </w:rPr>
        <w:t>anti-acetylcholine-receptor antibodies</w:t>
      </w:r>
      <w:r>
        <w:rPr>
          <w:rFonts w:cstheme="minorHAnsi"/>
          <w:sz w:val="24"/>
          <w:szCs w:val="24"/>
        </w:rPr>
        <w:t xml:space="preserve">, </w:t>
      </w:r>
      <w:r w:rsidRPr="00515B40">
        <w:rPr>
          <w:rFonts w:cstheme="minorHAnsi"/>
          <w:sz w:val="24"/>
          <w:szCs w:val="24"/>
        </w:rPr>
        <w:t>were planned</w:t>
      </w:r>
      <w:r>
        <w:rPr>
          <w:rFonts w:cstheme="minorHAnsi"/>
          <w:sz w:val="24"/>
          <w:szCs w:val="24"/>
        </w:rPr>
        <w:t xml:space="preserve">. </w:t>
      </w:r>
      <w:r w:rsidRPr="00515B40">
        <w:rPr>
          <w:rFonts w:cstheme="minorHAnsi"/>
          <w:sz w:val="24"/>
          <w:szCs w:val="24"/>
        </w:rPr>
        <w:t xml:space="preserve">The statistical program </w:t>
      </w:r>
      <w:r>
        <w:rPr>
          <w:rFonts w:cstheme="minorHAnsi"/>
          <w:sz w:val="24"/>
          <w:szCs w:val="24"/>
        </w:rPr>
        <w:t>R studio</w:t>
      </w:r>
      <w:r w:rsidRPr="00515B40">
        <w:rPr>
          <w:rFonts w:cstheme="minorHAnsi"/>
          <w:sz w:val="24"/>
          <w:szCs w:val="24"/>
        </w:rPr>
        <w:t xml:space="preserve"> was employed to perform all types of analyses and forest plots. </w:t>
      </w:r>
    </w:p>
    <w:p w14:paraId="2C5B247B" w14:textId="1C9B3FA9" w:rsidR="00243B7C" w:rsidRPr="00515B40" w:rsidRDefault="00243B7C" w:rsidP="00243B7C">
      <w:pPr>
        <w:spacing w:line="480" w:lineRule="auto"/>
        <w:rPr>
          <w:rFonts w:cstheme="minorHAnsi"/>
          <w:b/>
          <w:bCs/>
          <w:sz w:val="24"/>
          <w:szCs w:val="24"/>
        </w:rPr>
      </w:pPr>
      <w:r>
        <w:rPr>
          <w:rFonts w:cstheme="minorHAnsi"/>
          <w:b/>
          <w:bCs/>
          <w:sz w:val="24"/>
          <w:szCs w:val="24"/>
        </w:rPr>
        <w:t>Coding scripts and sharing data</w:t>
      </w:r>
    </w:p>
    <w:p w14:paraId="502FD02D" w14:textId="760BAF89" w:rsidR="00243B7C" w:rsidRPr="00243B7C" w:rsidRDefault="00243B7C" w:rsidP="00515B40">
      <w:pPr>
        <w:spacing w:line="480" w:lineRule="auto"/>
        <w:rPr>
          <w:rFonts w:cstheme="minorHAnsi"/>
          <w:sz w:val="24"/>
          <w:szCs w:val="24"/>
        </w:rPr>
      </w:pPr>
      <w:r>
        <w:rPr>
          <w:rFonts w:cstheme="minorHAnsi"/>
          <w:sz w:val="24"/>
          <w:szCs w:val="24"/>
        </w:rPr>
        <w:t>This information is found in (</w:t>
      </w:r>
      <w:proofErr w:type="spellStart"/>
      <w:r>
        <w:rPr>
          <w:rFonts w:cstheme="minorHAnsi"/>
          <w:sz w:val="24"/>
          <w:szCs w:val="24"/>
        </w:rPr>
        <w:t>github</w:t>
      </w:r>
      <w:proofErr w:type="spellEnd"/>
      <w:r>
        <w:rPr>
          <w:rFonts w:cstheme="minorHAnsi"/>
          <w:sz w:val="24"/>
          <w:szCs w:val="24"/>
        </w:rPr>
        <w:t>)</w:t>
      </w:r>
    </w:p>
    <w:p w14:paraId="50B63122" w14:textId="46BCB31A" w:rsidR="00942957" w:rsidRDefault="00515B40" w:rsidP="00515B40">
      <w:pPr>
        <w:spacing w:line="480" w:lineRule="auto"/>
        <w:rPr>
          <w:rFonts w:cstheme="minorHAnsi"/>
          <w:sz w:val="24"/>
          <w:szCs w:val="24"/>
        </w:rPr>
      </w:pPr>
      <w:r w:rsidRPr="00515B40">
        <w:rPr>
          <w:rFonts w:cstheme="minorHAnsi"/>
          <w:sz w:val="24"/>
          <w:szCs w:val="24"/>
        </w:rPr>
        <w:t xml:space="preserve">Coding scripts and excel files with the extracted data are available </w:t>
      </w:r>
      <w:commentRangeStart w:id="11"/>
      <w:r w:rsidRPr="00515B40">
        <w:rPr>
          <w:rFonts w:cstheme="minorHAnsi"/>
          <w:sz w:val="24"/>
          <w:szCs w:val="24"/>
        </w:rPr>
        <w:t>online</w:t>
      </w:r>
      <w:commentRangeEnd w:id="11"/>
      <w:r w:rsidR="008D72A4">
        <w:rPr>
          <w:rStyle w:val="CommentReference"/>
        </w:rPr>
        <w:commentReference w:id="11"/>
      </w:r>
      <w:r w:rsidRPr="00515B40">
        <w:rPr>
          <w:rFonts w:cstheme="minorHAnsi"/>
          <w:sz w:val="24"/>
          <w:szCs w:val="24"/>
        </w:rPr>
        <w:t>.</w:t>
      </w:r>
    </w:p>
    <w:p w14:paraId="7175D429" w14:textId="32F2DD19" w:rsidR="009600F7" w:rsidRDefault="00015486" w:rsidP="00515B40">
      <w:pPr>
        <w:spacing w:line="480" w:lineRule="auto"/>
        <w:rPr>
          <w:rFonts w:cstheme="minorHAnsi"/>
          <w:sz w:val="24"/>
          <w:szCs w:val="24"/>
        </w:rPr>
      </w:pPr>
      <w:commentRangeStart w:id="12"/>
      <w:r>
        <w:rPr>
          <w:rFonts w:cstheme="minorHAnsi"/>
          <w:sz w:val="24"/>
          <w:szCs w:val="24"/>
        </w:rPr>
        <w:t xml:space="preserve">To convert </w:t>
      </w:r>
      <w:r w:rsidR="004152FE">
        <w:rPr>
          <w:rFonts w:cstheme="minorHAnsi"/>
          <w:sz w:val="24"/>
          <w:szCs w:val="24"/>
        </w:rPr>
        <w:t>a median to mean</w:t>
      </w:r>
      <w:r>
        <w:rPr>
          <w:rFonts w:cstheme="minorHAnsi"/>
          <w:sz w:val="24"/>
          <w:szCs w:val="24"/>
        </w:rPr>
        <w:t>, we use t</w:t>
      </w:r>
      <w:r w:rsidRPr="00015486">
        <w:rPr>
          <w:rFonts w:cstheme="minorHAnsi"/>
          <w:sz w:val="24"/>
          <w:szCs w:val="24"/>
        </w:rPr>
        <w:t>he calculator produced by the authors of Shi 2020 and Luo 2018</w:t>
      </w:r>
      <w:commentRangeEnd w:id="12"/>
      <w:r w:rsidR="0030219B">
        <w:rPr>
          <w:rStyle w:val="CommentReference"/>
        </w:rPr>
        <w:commentReference w:id="12"/>
      </w:r>
      <w:r w:rsidR="004152FE">
        <w:rPr>
          <w:rFonts w:cstheme="minorHAnsi"/>
          <w:sz w:val="24"/>
          <w:szCs w:val="24"/>
        </w:rPr>
        <w:t xml:space="preserve">. Whereas, </w:t>
      </w:r>
      <w:r w:rsidR="00282F9A">
        <w:rPr>
          <w:rFonts w:cstheme="minorHAnsi"/>
          <w:sz w:val="24"/>
          <w:szCs w:val="24"/>
        </w:rPr>
        <w:t xml:space="preserve">we </w:t>
      </w:r>
      <w:r w:rsidR="00C96DC1">
        <w:rPr>
          <w:rFonts w:cstheme="minorHAnsi"/>
          <w:sz w:val="24"/>
          <w:szCs w:val="24"/>
        </w:rPr>
        <w:t xml:space="preserve">convert range to </w:t>
      </w:r>
      <w:r w:rsidR="00282F9A" w:rsidRPr="00282F9A">
        <w:rPr>
          <w:rFonts w:cstheme="minorHAnsi"/>
          <w:sz w:val="24"/>
          <w:szCs w:val="24"/>
        </w:rPr>
        <w:t xml:space="preserve">standard deviation </w:t>
      </w:r>
      <w:r w:rsidR="00C96DC1">
        <w:rPr>
          <w:rFonts w:cstheme="minorHAnsi"/>
          <w:sz w:val="24"/>
          <w:szCs w:val="24"/>
        </w:rPr>
        <w:t>with the methods reported by</w:t>
      </w:r>
      <w:r w:rsidR="00282F9A" w:rsidRPr="00282F9A">
        <w:rPr>
          <w:rFonts w:cstheme="minorHAnsi"/>
          <w:sz w:val="24"/>
          <w:szCs w:val="24"/>
        </w:rPr>
        <w:t xml:space="preserve"> Wan </w:t>
      </w:r>
      <w:r w:rsidR="00282F9A" w:rsidRPr="001410CF">
        <w:rPr>
          <w:rFonts w:cstheme="minorHAnsi"/>
          <w:i/>
          <w:iCs/>
          <w:sz w:val="24"/>
          <w:szCs w:val="24"/>
        </w:rPr>
        <w:t>et al</w:t>
      </w:r>
      <w:r w:rsidR="00282F9A" w:rsidRPr="00282F9A">
        <w:rPr>
          <w:rFonts w:cstheme="minorHAnsi"/>
          <w:sz w:val="24"/>
          <w:szCs w:val="24"/>
        </w:rPr>
        <w:t>. (2014)</w:t>
      </w:r>
      <w:commentRangeStart w:id="13"/>
      <w:commentRangeEnd w:id="13"/>
      <w:r w:rsidR="002B5932">
        <w:rPr>
          <w:rStyle w:val="CommentReference"/>
        </w:rPr>
        <w:commentReference w:id="13"/>
      </w:r>
      <w:r w:rsidR="002B5932">
        <w:rPr>
          <w:rFonts w:cstheme="minorHAnsi"/>
          <w:sz w:val="24"/>
          <w:szCs w:val="24"/>
        </w:rPr>
        <w:t xml:space="preserve"> </w:t>
      </w:r>
    </w:p>
    <w:p w14:paraId="4506899F" w14:textId="77777777" w:rsidR="00E034DF" w:rsidRDefault="00584A7B" w:rsidP="001A7ABC">
      <w:pPr>
        <w:spacing w:line="480" w:lineRule="auto"/>
        <w:rPr>
          <w:rFonts w:cstheme="minorHAnsi"/>
          <w:b/>
          <w:bCs/>
          <w:sz w:val="24"/>
          <w:szCs w:val="24"/>
        </w:rPr>
      </w:pPr>
      <w:r w:rsidRPr="00584A7B">
        <w:rPr>
          <w:rFonts w:cstheme="minorHAnsi"/>
          <w:b/>
          <w:bCs/>
          <w:sz w:val="24"/>
          <w:szCs w:val="24"/>
        </w:rPr>
        <w:t>Results</w:t>
      </w:r>
    </w:p>
    <w:p w14:paraId="4F3F032F" w14:textId="02EA02C1" w:rsidR="00910BA6" w:rsidRDefault="00E034DF" w:rsidP="00E034DF">
      <w:pPr>
        <w:spacing w:line="480" w:lineRule="auto"/>
        <w:rPr>
          <w:rFonts w:cstheme="minorHAnsi"/>
          <w:sz w:val="24"/>
          <w:szCs w:val="24"/>
        </w:rPr>
      </w:pPr>
      <w:r>
        <w:rPr>
          <w:rFonts w:cstheme="minorHAnsi"/>
          <w:sz w:val="24"/>
          <w:szCs w:val="24"/>
        </w:rPr>
        <w:t xml:space="preserve">The search strategy </w:t>
      </w:r>
      <w:r w:rsidR="00C96DC1">
        <w:rPr>
          <w:rFonts w:cstheme="minorHAnsi"/>
          <w:sz w:val="24"/>
          <w:szCs w:val="24"/>
        </w:rPr>
        <w:t>retrieved</w:t>
      </w:r>
      <w:r w:rsidR="00243B7C">
        <w:rPr>
          <w:rFonts w:cstheme="minorHAnsi"/>
          <w:sz w:val="24"/>
          <w:szCs w:val="24"/>
        </w:rPr>
        <w:t xml:space="preserve"> </w:t>
      </w:r>
      <w:r w:rsidR="00CA09CC">
        <w:rPr>
          <w:rFonts w:cstheme="minorHAnsi"/>
          <w:sz w:val="24"/>
          <w:szCs w:val="24"/>
        </w:rPr>
        <w:t>2436</w:t>
      </w:r>
      <w:r>
        <w:rPr>
          <w:rFonts w:cstheme="minorHAnsi"/>
          <w:sz w:val="24"/>
          <w:szCs w:val="24"/>
        </w:rPr>
        <w:t xml:space="preserve"> </w:t>
      </w:r>
      <w:r w:rsidR="0010245B">
        <w:rPr>
          <w:rFonts w:cstheme="minorHAnsi"/>
          <w:sz w:val="24"/>
          <w:szCs w:val="24"/>
        </w:rPr>
        <w:t>references</w:t>
      </w:r>
      <w:r>
        <w:rPr>
          <w:rFonts w:cstheme="minorHAnsi"/>
          <w:sz w:val="24"/>
          <w:szCs w:val="24"/>
        </w:rPr>
        <w:t xml:space="preserve">, </w:t>
      </w:r>
      <w:r w:rsidR="00C96DC1">
        <w:rPr>
          <w:rFonts w:cstheme="minorHAnsi"/>
          <w:sz w:val="24"/>
          <w:szCs w:val="24"/>
        </w:rPr>
        <w:t xml:space="preserve">and </w:t>
      </w:r>
      <w:r w:rsidR="001A7ABC" w:rsidRPr="001A7ABC">
        <w:rPr>
          <w:rFonts w:cstheme="minorHAnsi"/>
          <w:sz w:val="24"/>
          <w:szCs w:val="24"/>
        </w:rPr>
        <w:t>1</w:t>
      </w:r>
      <w:r w:rsidR="00CA09CC">
        <w:rPr>
          <w:rFonts w:cstheme="minorHAnsi"/>
          <w:sz w:val="24"/>
          <w:szCs w:val="24"/>
        </w:rPr>
        <w:t>4</w:t>
      </w:r>
      <w:r w:rsidR="001A7ABC" w:rsidRPr="001A7ABC">
        <w:rPr>
          <w:rFonts w:cstheme="minorHAnsi"/>
          <w:sz w:val="24"/>
          <w:szCs w:val="24"/>
        </w:rPr>
        <w:t xml:space="preserve"> comparative studies </w:t>
      </w:r>
      <w:r w:rsidR="00C96DC1">
        <w:rPr>
          <w:rFonts w:cstheme="minorHAnsi"/>
          <w:sz w:val="24"/>
          <w:szCs w:val="24"/>
        </w:rPr>
        <w:t xml:space="preserve">were included in this systematic review. A total of </w:t>
      </w:r>
      <w:r>
        <w:rPr>
          <w:rFonts w:cstheme="minorHAnsi"/>
          <w:sz w:val="24"/>
          <w:szCs w:val="24"/>
        </w:rPr>
        <w:t>1</w:t>
      </w:r>
      <w:r w:rsidR="006D60B1">
        <w:rPr>
          <w:rFonts w:cstheme="minorHAnsi"/>
          <w:sz w:val="24"/>
          <w:szCs w:val="24"/>
        </w:rPr>
        <w:t>773</w:t>
      </w:r>
      <w:r>
        <w:rPr>
          <w:rFonts w:cstheme="minorHAnsi"/>
          <w:sz w:val="24"/>
          <w:szCs w:val="24"/>
        </w:rPr>
        <w:t xml:space="preserve"> patients with myasthenia gravis </w:t>
      </w:r>
      <w:r w:rsidR="00C96DC1">
        <w:rPr>
          <w:rFonts w:cstheme="minorHAnsi"/>
          <w:sz w:val="24"/>
          <w:szCs w:val="24"/>
        </w:rPr>
        <w:t>were enrolled in</w:t>
      </w:r>
      <w:r>
        <w:rPr>
          <w:rFonts w:cstheme="minorHAnsi"/>
          <w:sz w:val="24"/>
          <w:szCs w:val="24"/>
        </w:rPr>
        <w:t xml:space="preserve"> 1</w:t>
      </w:r>
      <w:r w:rsidR="00CA09CC">
        <w:rPr>
          <w:rFonts w:cstheme="minorHAnsi"/>
          <w:sz w:val="24"/>
          <w:szCs w:val="24"/>
        </w:rPr>
        <w:t>3</w:t>
      </w:r>
      <w:r>
        <w:rPr>
          <w:rFonts w:cstheme="minorHAnsi"/>
          <w:sz w:val="24"/>
          <w:szCs w:val="24"/>
        </w:rPr>
        <w:t xml:space="preserve"> cohort </w:t>
      </w:r>
      <w:r w:rsidR="00C96DC1">
        <w:rPr>
          <w:rFonts w:cstheme="minorHAnsi"/>
          <w:sz w:val="24"/>
          <w:szCs w:val="24"/>
        </w:rPr>
        <w:t xml:space="preserve">studies </w:t>
      </w:r>
      <w:proofErr w:type="gramStart"/>
      <w:r>
        <w:rPr>
          <w:rFonts w:cstheme="minorHAnsi"/>
          <w:sz w:val="24"/>
          <w:szCs w:val="24"/>
        </w:rPr>
        <w:t xml:space="preserve">and </w:t>
      </w:r>
      <w:r w:rsidR="00C96DC1">
        <w:rPr>
          <w:rFonts w:cstheme="minorHAnsi"/>
          <w:sz w:val="24"/>
          <w:szCs w:val="24"/>
        </w:rPr>
        <w:t xml:space="preserve"> one</w:t>
      </w:r>
      <w:proofErr w:type="gramEnd"/>
      <w:r w:rsidR="00C96DC1">
        <w:rPr>
          <w:rFonts w:cstheme="minorHAnsi"/>
          <w:sz w:val="24"/>
          <w:szCs w:val="24"/>
        </w:rPr>
        <w:t xml:space="preserve"> </w:t>
      </w:r>
      <w:r>
        <w:rPr>
          <w:rFonts w:cstheme="minorHAnsi"/>
          <w:sz w:val="24"/>
          <w:szCs w:val="24"/>
        </w:rPr>
        <w:t>randomized clinical trial. The</w:t>
      </w:r>
      <w:r w:rsidR="00C96DC1">
        <w:rPr>
          <w:rFonts w:cstheme="minorHAnsi"/>
          <w:sz w:val="24"/>
          <w:szCs w:val="24"/>
        </w:rPr>
        <w:t>ir</w:t>
      </w:r>
      <w:r>
        <w:rPr>
          <w:rFonts w:cstheme="minorHAnsi"/>
          <w:sz w:val="24"/>
          <w:szCs w:val="24"/>
        </w:rPr>
        <w:t xml:space="preserve"> mean age varied from </w:t>
      </w:r>
      <w:bookmarkStart w:id="14" w:name="_Hlk39668294"/>
      <w:r>
        <w:rPr>
          <w:rFonts w:cstheme="minorHAnsi"/>
          <w:sz w:val="24"/>
          <w:szCs w:val="24"/>
        </w:rPr>
        <w:t>2</w:t>
      </w:r>
      <w:r w:rsidR="00A8040D">
        <w:rPr>
          <w:rFonts w:cstheme="minorHAnsi"/>
          <w:sz w:val="24"/>
          <w:szCs w:val="24"/>
        </w:rPr>
        <w:t>0.5</w:t>
      </w:r>
      <w:r>
        <w:rPr>
          <w:rFonts w:cstheme="minorHAnsi"/>
          <w:sz w:val="24"/>
          <w:szCs w:val="24"/>
        </w:rPr>
        <w:t xml:space="preserve"> (SD </w:t>
      </w:r>
      <w:r w:rsidR="00A8040D">
        <w:rPr>
          <w:rFonts w:cstheme="minorHAnsi"/>
          <w:sz w:val="24"/>
          <w:szCs w:val="24"/>
        </w:rPr>
        <w:t>13.3</w:t>
      </w:r>
      <w:r>
        <w:rPr>
          <w:rFonts w:cstheme="minorHAnsi"/>
          <w:sz w:val="24"/>
          <w:szCs w:val="24"/>
        </w:rPr>
        <w:t xml:space="preserve">) </w:t>
      </w:r>
      <w:bookmarkEnd w:id="14"/>
      <w:r>
        <w:rPr>
          <w:rFonts w:cstheme="minorHAnsi"/>
          <w:sz w:val="24"/>
          <w:szCs w:val="24"/>
        </w:rPr>
        <w:t>to 43</w:t>
      </w:r>
      <w:r w:rsidR="00A8040D">
        <w:rPr>
          <w:rFonts w:cstheme="minorHAnsi"/>
          <w:sz w:val="24"/>
          <w:szCs w:val="24"/>
        </w:rPr>
        <w:t>.96</w:t>
      </w:r>
      <w:r>
        <w:rPr>
          <w:rFonts w:cstheme="minorHAnsi"/>
          <w:sz w:val="24"/>
          <w:szCs w:val="24"/>
        </w:rPr>
        <w:t xml:space="preserve"> (SD </w:t>
      </w:r>
      <w:r w:rsidR="00A8040D">
        <w:rPr>
          <w:rFonts w:cstheme="minorHAnsi"/>
          <w:sz w:val="24"/>
          <w:szCs w:val="24"/>
        </w:rPr>
        <w:t>14.93</w:t>
      </w:r>
      <w:r>
        <w:rPr>
          <w:rFonts w:cstheme="minorHAnsi"/>
          <w:sz w:val="24"/>
          <w:szCs w:val="24"/>
        </w:rPr>
        <w:t>) years</w:t>
      </w:r>
      <w:r w:rsidR="00C96DC1">
        <w:rPr>
          <w:rFonts w:cstheme="minorHAnsi"/>
          <w:sz w:val="24"/>
          <w:szCs w:val="24"/>
        </w:rPr>
        <w:t>, and</w:t>
      </w:r>
      <w:r>
        <w:rPr>
          <w:rFonts w:cstheme="minorHAnsi"/>
          <w:sz w:val="24"/>
          <w:szCs w:val="24"/>
        </w:rPr>
        <w:t xml:space="preserve"> </w:t>
      </w:r>
      <w:r w:rsidR="00C96DC1">
        <w:rPr>
          <w:rFonts w:cstheme="minorHAnsi"/>
          <w:sz w:val="24"/>
          <w:szCs w:val="24"/>
        </w:rPr>
        <w:t>m</w:t>
      </w:r>
      <w:r>
        <w:rPr>
          <w:rFonts w:cstheme="minorHAnsi"/>
          <w:sz w:val="24"/>
          <w:szCs w:val="24"/>
        </w:rPr>
        <w:t xml:space="preserve">ost of the participants were female </w:t>
      </w:r>
      <w:r w:rsidR="001A7ABC" w:rsidRPr="001A7ABC">
        <w:rPr>
          <w:rFonts w:cstheme="minorHAnsi"/>
          <w:sz w:val="24"/>
          <w:szCs w:val="24"/>
        </w:rPr>
        <w:t>(</w:t>
      </w:r>
      <w:r w:rsidR="00A8040D">
        <w:rPr>
          <w:rFonts w:cstheme="minorHAnsi"/>
          <w:sz w:val="24"/>
          <w:szCs w:val="24"/>
        </w:rPr>
        <w:t>62</w:t>
      </w:r>
      <w:r w:rsidR="001A7ABC" w:rsidRPr="001A7ABC">
        <w:rPr>
          <w:rFonts w:cstheme="minorHAnsi"/>
          <w:sz w:val="24"/>
          <w:szCs w:val="24"/>
        </w:rPr>
        <w:t>%)</w:t>
      </w:r>
      <w:r w:rsidR="00C96DC1">
        <w:rPr>
          <w:rFonts w:cstheme="minorHAnsi"/>
          <w:sz w:val="24"/>
          <w:szCs w:val="24"/>
        </w:rPr>
        <w:t>.</w:t>
      </w:r>
      <w:r w:rsidR="00E44EDB">
        <w:rPr>
          <w:rFonts w:cstheme="minorHAnsi"/>
          <w:sz w:val="24"/>
          <w:szCs w:val="24"/>
        </w:rPr>
        <w:t xml:space="preserve"> (Table 1)</w:t>
      </w:r>
    </w:p>
    <w:p w14:paraId="58C6FCB1" w14:textId="51D94AAF" w:rsidR="00F04E5E" w:rsidRDefault="00F04E5E" w:rsidP="00E034DF">
      <w:pPr>
        <w:spacing w:line="480" w:lineRule="auto"/>
        <w:rPr>
          <w:rFonts w:cstheme="minorHAnsi"/>
          <w:sz w:val="24"/>
          <w:szCs w:val="24"/>
        </w:rPr>
      </w:pPr>
      <w:r>
        <w:rPr>
          <w:rFonts w:cstheme="minorHAnsi"/>
          <w:sz w:val="24"/>
          <w:szCs w:val="24"/>
        </w:rPr>
        <w:t>Overall risk of bias ###</w:t>
      </w:r>
    </w:p>
    <w:p w14:paraId="1813030E" w14:textId="77777777" w:rsidR="00F04E5E" w:rsidRDefault="00F04E5E" w:rsidP="00E034DF">
      <w:pPr>
        <w:spacing w:line="480" w:lineRule="auto"/>
        <w:rPr>
          <w:rFonts w:cstheme="minorHAnsi"/>
          <w:sz w:val="24"/>
          <w:szCs w:val="24"/>
        </w:rPr>
      </w:pPr>
    </w:p>
    <w:p w14:paraId="01AC2ED3" w14:textId="48D246AB" w:rsidR="00B03018" w:rsidRPr="00EE0F79" w:rsidRDefault="00B03018" w:rsidP="00E034DF">
      <w:pPr>
        <w:spacing w:line="480" w:lineRule="auto"/>
        <w:rPr>
          <w:rFonts w:cstheme="minorHAnsi"/>
          <w:b/>
          <w:bCs/>
          <w:sz w:val="24"/>
          <w:szCs w:val="24"/>
        </w:rPr>
      </w:pPr>
      <w:r w:rsidRPr="00EE0F79">
        <w:rPr>
          <w:rFonts w:cstheme="minorHAnsi"/>
          <w:b/>
          <w:bCs/>
          <w:sz w:val="24"/>
          <w:szCs w:val="24"/>
        </w:rPr>
        <w:t xml:space="preserve">Preoperative </w:t>
      </w:r>
      <w:r w:rsidR="00F04E5E">
        <w:rPr>
          <w:rFonts w:cstheme="minorHAnsi"/>
          <w:b/>
          <w:bCs/>
          <w:sz w:val="24"/>
          <w:szCs w:val="24"/>
        </w:rPr>
        <w:t xml:space="preserve">and postoperative MGFA </w:t>
      </w:r>
      <w:r w:rsidRPr="00EE0F79">
        <w:rPr>
          <w:rFonts w:cstheme="minorHAnsi"/>
          <w:b/>
          <w:bCs/>
          <w:sz w:val="24"/>
          <w:szCs w:val="24"/>
        </w:rPr>
        <w:t xml:space="preserve">characteristics </w:t>
      </w:r>
    </w:p>
    <w:p w14:paraId="31C13CC0" w14:textId="020699D6" w:rsidR="00480D30" w:rsidRDefault="00101F63" w:rsidP="00B03018">
      <w:pPr>
        <w:spacing w:line="480" w:lineRule="auto"/>
        <w:rPr>
          <w:rFonts w:cstheme="minorHAnsi"/>
          <w:sz w:val="24"/>
          <w:szCs w:val="24"/>
        </w:rPr>
      </w:pPr>
      <w:r>
        <w:rPr>
          <w:rFonts w:cstheme="minorHAnsi"/>
          <w:sz w:val="24"/>
          <w:szCs w:val="24"/>
        </w:rPr>
        <w:t xml:space="preserve">According the </w:t>
      </w:r>
      <w:r w:rsidR="00B03018">
        <w:rPr>
          <w:rFonts w:cstheme="minorHAnsi"/>
          <w:sz w:val="24"/>
          <w:szCs w:val="24"/>
        </w:rPr>
        <w:t xml:space="preserve">MGFA </w:t>
      </w:r>
      <w:r>
        <w:rPr>
          <w:rFonts w:cstheme="minorHAnsi"/>
          <w:sz w:val="24"/>
          <w:szCs w:val="24"/>
        </w:rPr>
        <w:t xml:space="preserve">clinical classification, </w:t>
      </w:r>
      <w:r w:rsidR="003A00E5">
        <w:rPr>
          <w:rFonts w:cstheme="minorHAnsi"/>
          <w:sz w:val="24"/>
          <w:szCs w:val="24"/>
        </w:rPr>
        <w:t>most</w:t>
      </w:r>
      <w:r>
        <w:rPr>
          <w:rFonts w:cstheme="minorHAnsi"/>
          <w:sz w:val="24"/>
          <w:szCs w:val="24"/>
        </w:rPr>
        <w:t xml:space="preserve"> of the patients </w:t>
      </w:r>
      <w:r w:rsidR="003A00E5">
        <w:rPr>
          <w:rFonts w:cstheme="minorHAnsi"/>
          <w:sz w:val="24"/>
          <w:szCs w:val="24"/>
        </w:rPr>
        <w:t xml:space="preserve">who underwent thymectomy, </w:t>
      </w:r>
      <w:r>
        <w:rPr>
          <w:rFonts w:cstheme="minorHAnsi"/>
          <w:sz w:val="24"/>
          <w:szCs w:val="24"/>
        </w:rPr>
        <w:t>were in class</w:t>
      </w:r>
      <w:r w:rsidR="003A00E5">
        <w:rPr>
          <w:rFonts w:cstheme="minorHAnsi"/>
          <w:sz w:val="24"/>
          <w:szCs w:val="24"/>
        </w:rPr>
        <w:t xml:space="preserve"> I (21%) and class</w:t>
      </w:r>
      <w:r>
        <w:rPr>
          <w:rFonts w:cstheme="minorHAnsi"/>
          <w:sz w:val="24"/>
          <w:szCs w:val="24"/>
        </w:rPr>
        <w:t xml:space="preserve"> I</w:t>
      </w:r>
      <w:r w:rsidR="00552386">
        <w:rPr>
          <w:rFonts w:cstheme="minorHAnsi"/>
          <w:sz w:val="24"/>
          <w:szCs w:val="24"/>
        </w:rPr>
        <w:t>I</w:t>
      </w:r>
      <w:r>
        <w:rPr>
          <w:rFonts w:cstheme="minorHAnsi"/>
          <w:sz w:val="24"/>
          <w:szCs w:val="24"/>
        </w:rPr>
        <w:t xml:space="preserve"> </w:t>
      </w:r>
      <w:r w:rsidR="003A00E5">
        <w:rPr>
          <w:rFonts w:cstheme="minorHAnsi"/>
          <w:sz w:val="24"/>
          <w:szCs w:val="24"/>
        </w:rPr>
        <w:t>(39%)</w:t>
      </w:r>
      <w:r>
        <w:rPr>
          <w:rFonts w:cstheme="minorHAnsi"/>
          <w:sz w:val="24"/>
          <w:szCs w:val="24"/>
        </w:rPr>
        <w:t xml:space="preserve">. </w:t>
      </w:r>
      <w:r w:rsidR="003A00E5">
        <w:rPr>
          <w:rFonts w:cstheme="minorHAnsi"/>
          <w:sz w:val="24"/>
          <w:szCs w:val="24"/>
        </w:rPr>
        <w:t xml:space="preserve">The treatments used prior surgery were </w:t>
      </w:r>
      <w:r>
        <w:rPr>
          <w:rFonts w:cstheme="minorHAnsi"/>
          <w:sz w:val="24"/>
          <w:szCs w:val="24"/>
        </w:rPr>
        <w:t>anticholinesterase treatment</w:t>
      </w:r>
      <w:r w:rsidR="003A00E5">
        <w:rPr>
          <w:rFonts w:cstheme="minorHAnsi"/>
          <w:sz w:val="24"/>
          <w:szCs w:val="24"/>
        </w:rPr>
        <w:t xml:space="preserve"> (25%)</w:t>
      </w:r>
      <w:r>
        <w:rPr>
          <w:rFonts w:cstheme="minorHAnsi"/>
          <w:sz w:val="24"/>
          <w:szCs w:val="24"/>
        </w:rPr>
        <w:t>, and steroids</w:t>
      </w:r>
      <w:r w:rsidR="003A00E5">
        <w:rPr>
          <w:rFonts w:cstheme="minorHAnsi"/>
          <w:sz w:val="24"/>
          <w:szCs w:val="24"/>
        </w:rPr>
        <w:t xml:space="preserve"> (21%)</w:t>
      </w:r>
      <w:r>
        <w:rPr>
          <w:rFonts w:cstheme="minorHAnsi"/>
          <w:sz w:val="24"/>
          <w:szCs w:val="24"/>
        </w:rPr>
        <w:t xml:space="preserve">. </w:t>
      </w:r>
      <w:r w:rsidR="00480D30">
        <w:rPr>
          <w:rFonts w:cstheme="minorHAnsi"/>
          <w:sz w:val="24"/>
          <w:szCs w:val="24"/>
        </w:rPr>
        <w:t>Moreover, 8 studies exclude population with thymoma</w:t>
      </w:r>
      <w:r w:rsidR="00E44EDB">
        <w:rPr>
          <w:rFonts w:cstheme="minorHAnsi"/>
          <w:sz w:val="24"/>
          <w:szCs w:val="24"/>
        </w:rPr>
        <w:t xml:space="preserve"> (Table 1).</w:t>
      </w:r>
    </w:p>
    <w:p w14:paraId="0DABCDB5" w14:textId="77777777" w:rsidR="00EE0F79" w:rsidRPr="00EE0F79" w:rsidRDefault="00EE0F79" w:rsidP="00EE0F79">
      <w:pPr>
        <w:spacing w:line="480" w:lineRule="auto"/>
        <w:rPr>
          <w:rFonts w:cstheme="minorHAnsi"/>
          <w:b/>
          <w:bCs/>
          <w:sz w:val="24"/>
          <w:szCs w:val="24"/>
        </w:rPr>
      </w:pPr>
      <w:r w:rsidRPr="00EE0F79">
        <w:rPr>
          <w:rFonts w:cstheme="minorHAnsi"/>
          <w:b/>
          <w:bCs/>
          <w:sz w:val="24"/>
          <w:szCs w:val="24"/>
        </w:rPr>
        <w:t>Overall time and hospital stay by surgical approach</w:t>
      </w:r>
    </w:p>
    <w:p w14:paraId="12FF4557" w14:textId="7F229DD2" w:rsidR="00EE0F79" w:rsidRDefault="00EE0F79" w:rsidP="00EE0F79">
      <w:pPr>
        <w:spacing w:line="480" w:lineRule="auto"/>
        <w:rPr>
          <w:rFonts w:cstheme="minorHAnsi"/>
          <w:sz w:val="24"/>
          <w:szCs w:val="24"/>
        </w:rPr>
      </w:pPr>
      <w:r w:rsidRPr="001A7ABC">
        <w:rPr>
          <w:rFonts w:cstheme="minorHAnsi"/>
          <w:sz w:val="24"/>
          <w:szCs w:val="24"/>
        </w:rPr>
        <w:t xml:space="preserve">The techniques with the shortest </w:t>
      </w:r>
      <w:r>
        <w:rPr>
          <w:rFonts w:cstheme="minorHAnsi"/>
          <w:sz w:val="24"/>
          <w:szCs w:val="24"/>
        </w:rPr>
        <w:t xml:space="preserve">mean </w:t>
      </w:r>
      <w:r w:rsidR="008E1C14">
        <w:rPr>
          <w:rFonts w:cstheme="minorHAnsi"/>
          <w:sz w:val="24"/>
          <w:szCs w:val="24"/>
        </w:rPr>
        <w:t>operative</w:t>
      </w:r>
      <w:r w:rsidRPr="001A7ABC">
        <w:rPr>
          <w:rFonts w:cstheme="minorHAnsi"/>
          <w:sz w:val="24"/>
          <w:szCs w:val="24"/>
        </w:rPr>
        <w:t xml:space="preserve"> time were</w:t>
      </w:r>
      <w:r w:rsidR="008E1C14">
        <w:rPr>
          <w:rFonts w:cstheme="minorHAnsi"/>
          <w:sz w:val="24"/>
          <w:szCs w:val="24"/>
        </w:rPr>
        <w:t xml:space="preserve"> </w:t>
      </w:r>
      <w:r w:rsidR="008E1C14" w:rsidRPr="008E1C14">
        <w:rPr>
          <w:rFonts w:cstheme="minorHAnsi"/>
          <w:sz w:val="24"/>
          <w:szCs w:val="24"/>
        </w:rPr>
        <w:t>STsT 86.83</w:t>
      </w:r>
      <w:r w:rsidR="00D56F81">
        <w:rPr>
          <w:rFonts w:cstheme="minorHAnsi"/>
          <w:sz w:val="24"/>
          <w:szCs w:val="24"/>
        </w:rPr>
        <w:t xml:space="preserve"> minutes</w:t>
      </w:r>
      <w:r w:rsidR="008E1C14" w:rsidRPr="008E1C14">
        <w:rPr>
          <w:rFonts w:cstheme="minorHAnsi"/>
          <w:sz w:val="24"/>
          <w:szCs w:val="24"/>
        </w:rPr>
        <w:t xml:space="preserve"> (±27.55); VATET bi 126.8</w:t>
      </w:r>
      <w:r w:rsidR="00D56F81">
        <w:rPr>
          <w:rFonts w:cstheme="minorHAnsi"/>
          <w:sz w:val="24"/>
          <w:szCs w:val="24"/>
        </w:rPr>
        <w:t xml:space="preserve"> minutes</w:t>
      </w:r>
      <w:r w:rsidR="008E1C14" w:rsidRPr="008E1C14">
        <w:rPr>
          <w:rFonts w:cstheme="minorHAnsi"/>
          <w:sz w:val="24"/>
          <w:szCs w:val="24"/>
        </w:rPr>
        <w:t xml:space="preserve"> (22.2); ETsT 140.86</w:t>
      </w:r>
      <w:r w:rsidR="00D56F81">
        <w:rPr>
          <w:rFonts w:cstheme="minorHAnsi"/>
          <w:sz w:val="24"/>
          <w:szCs w:val="24"/>
        </w:rPr>
        <w:t xml:space="preserve"> minutes</w:t>
      </w:r>
      <w:r w:rsidR="008E1C14" w:rsidRPr="008E1C14">
        <w:rPr>
          <w:rFonts w:cstheme="minorHAnsi"/>
          <w:sz w:val="24"/>
          <w:szCs w:val="24"/>
        </w:rPr>
        <w:t xml:space="preserve"> (±46.83</w:t>
      </w:r>
      <w:r w:rsidR="00D56F81">
        <w:rPr>
          <w:rFonts w:cstheme="minorHAnsi"/>
          <w:sz w:val="24"/>
          <w:szCs w:val="24"/>
        </w:rPr>
        <w:t xml:space="preserve">); and </w:t>
      </w:r>
      <w:r w:rsidR="00D56F81" w:rsidRPr="00D56F81">
        <w:rPr>
          <w:rFonts w:cstheme="minorHAnsi"/>
          <w:sz w:val="24"/>
          <w:szCs w:val="24"/>
        </w:rPr>
        <w:t>VATS uni 149.38</w:t>
      </w:r>
      <w:r w:rsidR="00D56F81">
        <w:rPr>
          <w:rFonts w:cstheme="minorHAnsi"/>
          <w:sz w:val="24"/>
          <w:szCs w:val="24"/>
        </w:rPr>
        <w:t xml:space="preserve">. Whereas, </w:t>
      </w:r>
      <w:r>
        <w:rPr>
          <w:rFonts w:cstheme="minorHAnsi"/>
          <w:sz w:val="24"/>
          <w:szCs w:val="24"/>
        </w:rPr>
        <w:t xml:space="preserve">those with the longest mean surgical time were </w:t>
      </w:r>
      <w:r w:rsidR="00D56F81">
        <w:rPr>
          <w:rFonts w:cstheme="minorHAnsi"/>
          <w:sz w:val="24"/>
          <w:szCs w:val="24"/>
        </w:rPr>
        <w:t xml:space="preserve">VATS uni robotic </w:t>
      </w:r>
      <w:r w:rsidR="00D56F81" w:rsidRPr="00D56F81">
        <w:rPr>
          <w:rFonts w:cstheme="minorHAnsi"/>
          <w:sz w:val="24"/>
          <w:szCs w:val="24"/>
        </w:rPr>
        <w:t xml:space="preserve">187.0 </w:t>
      </w:r>
      <w:r w:rsidR="00D56F81">
        <w:rPr>
          <w:rFonts w:cstheme="minorHAnsi"/>
          <w:sz w:val="24"/>
          <w:szCs w:val="24"/>
        </w:rPr>
        <w:t xml:space="preserve">minutes </w:t>
      </w:r>
      <w:r w:rsidR="00D56F81" w:rsidRPr="00D56F81">
        <w:rPr>
          <w:rFonts w:cstheme="minorHAnsi"/>
          <w:sz w:val="24"/>
          <w:szCs w:val="24"/>
        </w:rPr>
        <w:t>(48.0)</w:t>
      </w:r>
      <w:r w:rsidR="00D56F81">
        <w:rPr>
          <w:rFonts w:cstheme="minorHAnsi"/>
          <w:sz w:val="24"/>
          <w:szCs w:val="24"/>
        </w:rPr>
        <w:t xml:space="preserve">; </w:t>
      </w:r>
      <w:r w:rsidR="00D56F81" w:rsidRPr="00D56F81">
        <w:rPr>
          <w:rFonts w:cstheme="minorHAnsi"/>
          <w:sz w:val="24"/>
          <w:szCs w:val="24"/>
        </w:rPr>
        <w:t>TcSxVT 181.31</w:t>
      </w:r>
      <w:r w:rsidR="00D56F81">
        <w:rPr>
          <w:rFonts w:cstheme="minorHAnsi"/>
          <w:sz w:val="24"/>
          <w:szCs w:val="24"/>
        </w:rPr>
        <w:t xml:space="preserve"> minutes</w:t>
      </w:r>
      <w:r w:rsidR="00D56F81" w:rsidRPr="00D56F81">
        <w:rPr>
          <w:rFonts w:cstheme="minorHAnsi"/>
          <w:sz w:val="24"/>
          <w:szCs w:val="24"/>
        </w:rPr>
        <w:t xml:space="preserve"> (42.0)</w:t>
      </w:r>
      <w:r w:rsidR="00D56F81">
        <w:rPr>
          <w:rFonts w:cstheme="minorHAnsi"/>
          <w:sz w:val="24"/>
          <w:szCs w:val="24"/>
        </w:rPr>
        <w:t xml:space="preserve">; </w:t>
      </w:r>
      <w:r w:rsidR="0010245B">
        <w:rPr>
          <w:rFonts w:cstheme="minorHAnsi"/>
          <w:sz w:val="24"/>
          <w:szCs w:val="24"/>
        </w:rPr>
        <w:t xml:space="preserve">and </w:t>
      </w:r>
      <w:r w:rsidR="00D56F81" w:rsidRPr="00D56F81">
        <w:rPr>
          <w:rFonts w:cstheme="minorHAnsi"/>
          <w:sz w:val="24"/>
          <w:szCs w:val="24"/>
        </w:rPr>
        <w:t>VATET uni 179.95</w:t>
      </w:r>
      <w:r w:rsidR="00D56F81">
        <w:rPr>
          <w:rFonts w:cstheme="minorHAnsi"/>
          <w:sz w:val="24"/>
          <w:szCs w:val="24"/>
        </w:rPr>
        <w:t xml:space="preserve"> minutes</w:t>
      </w:r>
      <w:r w:rsidR="00D56F81" w:rsidRPr="00D56F81">
        <w:rPr>
          <w:rFonts w:cstheme="minorHAnsi"/>
          <w:sz w:val="24"/>
          <w:szCs w:val="24"/>
        </w:rPr>
        <w:t xml:space="preserve"> (46.25)</w:t>
      </w:r>
      <w:r w:rsidR="000932F8">
        <w:rPr>
          <w:rFonts w:cstheme="minorHAnsi"/>
          <w:sz w:val="24"/>
          <w:szCs w:val="24"/>
        </w:rPr>
        <w:t xml:space="preserve"> (Table 2)</w:t>
      </w:r>
    </w:p>
    <w:p w14:paraId="6613D100" w14:textId="3C259218" w:rsidR="00EE0F79" w:rsidRDefault="00CC1899" w:rsidP="00EE0F79">
      <w:pPr>
        <w:spacing w:line="480" w:lineRule="auto"/>
        <w:rPr>
          <w:rFonts w:cstheme="minorHAnsi"/>
          <w:sz w:val="24"/>
          <w:szCs w:val="24"/>
        </w:rPr>
      </w:pPr>
      <w:r>
        <w:rPr>
          <w:rFonts w:cstheme="minorHAnsi"/>
          <w:sz w:val="24"/>
          <w:szCs w:val="24"/>
        </w:rPr>
        <w:t>T</w:t>
      </w:r>
      <w:r w:rsidR="00EE0F79" w:rsidRPr="001A7ABC">
        <w:rPr>
          <w:rFonts w:cstheme="minorHAnsi"/>
          <w:sz w:val="24"/>
          <w:szCs w:val="24"/>
        </w:rPr>
        <w:t>he hospitalized length was shorter in the minimally invasive approaches (group T-2)</w:t>
      </w:r>
      <w:r w:rsidR="00EE0F79" w:rsidRPr="001A7ABC">
        <w:rPr>
          <w:rFonts w:cstheme="minorHAnsi"/>
          <w:sz w:val="24"/>
          <w:szCs w:val="24"/>
        </w:rPr>
        <w:tab/>
        <w:t xml:space="preserve"> </w:t>
      </w:r>
    </w:p>
    <w:p w14:paraId="08626CC0" w14:textId="3CCCA907" w:rsidR="00F04E5E" w:rsidRDefault="00F04E5E" w:rsidP="00EE0F79">
      <w:pPr>
        <w:spacing w:line="480" w:lineRule="auto"/>
        <w:rPr>
          <w:rFonts w:cstheme="minorHAnsi"/>
          <w:b/>
          <w:bCs/>
          <w:sz w:val="24"/>
          <w:szCs w:val="24"/>
        </w:rPr>
      </w:pPr>
      <w:r>
        <w:rPr>
          <w:rFonts w:cstheme="minorHAnsi"/>
          <w:b/>
          <w:bCs/>
          <w:sz w:val="24"/>
          <w:szCs w:val="24"/>
        </w:rPr>
        <w:t>Complications</w:t>
      </w:r>
    </w:p>
    <w:p w14:paraId="127D49F6" w14:textId="77777777" w:rsidR="00F04E5E" w:rsidRPr="001A7ABC" w:rsidRDefault="00F04E5E" w:rsidP="00EE0F79">
      <w:pPr>
        <w:spacing w:line="480" w:lineRule="auto"/>
        <w:rPr>
          <w:rFonts w:cstheme="minorHAnsi"/>
          <w:sz w:val="24"/>
          <w:szCs w:val="24"/>
        </w:rPr>
      </w:pPr>
    </w:p>
    <w:p w14:paraId="76950549" w14:textId="77777777" w:rsidR="00B757E5" w:rsidRDefault="00B757E5" w:rsidP="001A7ABC">
      <w:pPr>
        <w:spacing w:line="480" w:lineRule="auto"/>
        <w:rPr>
          <w:rFonts w:cstheme="minorHAnsi"/>
          <w:b/>
          <w:bCs/>
          <w:i/>
          <w:iCs/>
          <w:sz w:val="24"/>
          <w:szCs w:val="24"/>
        </w:rPr>
      </w:pPr>
      <w:r w:rsidRPr="00B757E5">
        <w:rPr>
          <w:rFonts w:cstheme="minorHAnsi"/>
          <w:b/>
          <w:bCs/>
          <w:i/>
          <w:iCs/>
          <w:sz w:val="24"/>
          <w:szCs w:val="24"/>
        </w:rPr>
        <w:t xml:space="preserve">Aggressive vs. aggressive </w:t>
      </w:r>
      <w:r>
        <w:rPr>
          <w:rFonts w:cstheme="minorHAnsi"/>
          <w:b/>
          <w:bCs/>
          <w:i/>
          <w:iCs/>
          <w:sz w:val="24"/>
          <w:szCs w:val="24"/>
        </w:rPr>
        <w:t>surgical approaches</w:t>
      </w:r>
    </w:p>
    <w:p w14:paraId="6599375D" w14:textId="4D8D323D" w:rsidR="00F04E5E" w:rsidRDefault="009A06F8" w:rsidP="001A7ABC">
      <w:pPr>
        <w:spacing w:line="480" w:lineRule="auto"/>
        <w:rPr>
          <w:rFonts w:cstheme="minorHAnsi"/>
          <w:sz w:val="24"/>
          <w:szCs w:val="24"/>
        </w:rPr>
      </w:pPr>
      <w:r>
        <w:rPr>
          <w:rFonts w:cstheme="minorHAnsi"/>
          <w:sz w:val="24"/>
          <w:szCs w:val="24"/>
        </w:rPr>
        <w:t xml:space="preserve">A total of </w:t>
      </w:r>
      <w:r w:rsidR="00FD50D1">
        <w:rPr>
          <w:rFonts w:cstheme="minorHAnsi"/>
          <w:sz w:val="24"/>
          <w:szCs w:val="24"/>
        </w:rPr>
        <w:t>5</w:t>
      </w:r>
      <w:r>
        <w:rPr>
          <w:rFonts w:cstheme="minorHAnsi"/>
          <w:sz w:val="24"/>
          <w:szCs w:val="24"/>
        </w:rPr>
        <w:t xml:space="preserve"> studies compared aggressive vs. aggressive surgical approaches, including </w:t>
      </w:r>
      <w:r w:rsidR="009E15A7">
        <w:rPr>
          <w:rFonts w:cstheme="minorHAnsi"/>
          <w:sz w:val="24"/>
          <w:szCs w:val="24"/>
        </w:rPr>
        <w:t xml:space="preserve">531 </w:t>
      </w:r>
      <w:r>
        <w:rPr>
          <w:rFonts w:cstheme="minorHAnsi"/>
          <w:sz w:val="24"/>
          <w:szCs w:val="24"/>
        </w:rPr>
        <w:t>participants. The risk of achieving stable complete remission at 3 years of follow-up was higher in patients who underwent ETsT (RR</w:t>
      </w:r>
      <w:r w:rsidR="00713AAB">
        <w:rPr>
          <w:rFonts w:cstheme="minorHAnsi"/>
          <w:sz w:val="24"/>
          <w:szCs w:val="24"/>
        </w:rPr>
        <w:t xml:space="preserve"> 2.8</w:t>
      </w:r>
      <w:r w:rsidR="000932F8">
        <w:rPr>
          <w:rFonts w:cstheme="minorHAnsi"/>
          <w:sz w:val="24"/>
          <w:szCs w:val="24"/>
        </w:rPr>
        <w:t>4</w:t>
      </w:r>
      <w:r w:rsidR="00713AAB">
        <w:rPr>
          <w:rFonts w:cstheme="minorHAnsi"/>
          <w:sz w:val="24"/>
          <w:szCs w:val="24"/>
        </w:rPr>
        <w:t>; CI: 1.</w:t>
      </w:r>
      <w:r w:rsidR="000932F8">
        <w:rPr>
          <w:rFonts w:cstheme="minorHAnsi"/>
          <w:sz w:val="24"/>
          <w:szCs w:val="24"/>
        </w:rPr>
        <w:t>47</w:t>
      </w:r>
      <w:r w:rsidR="00713AAB">
        <w:rPr>
          <w:rFonts w:cstheme="minorHAnsi"/>
          <w:sz w:val="24"/>
          <w:szCs w:val="24"/>
        </w:rPr>
        <w:t xml:space="preserve">, </w:t>
      </w:r>
      <w:r w:rsidR="000932F8">
        <w:rPr>
          <w:rFonts w:cstheme="minorHAnsi"/>
          <w:sz w:val="24"/>
          <w:szCs w:val="24"/>
        </w:rPr>
        <w:t>5</w:t>
      </w:r>
      <w:r w:rsidR="00713AAB">
        <w:rPr>
          <w:rFonts w:cstheme="minorHAnsi"/>
          <w:sz w:val="24"/>
          <w:szCs w:val="24"/>
        </w:rPr>
        <w:t>.49</w:t>
      </w:r>
      <w:r>
        <w:rPr>
          <w:rFonts w:cstheme="minorHAnsi"/>
          <w:sz w:val="24"/>
          <w:szCs w:val="24"/>
        </w:rPr>
        <w:t>) compared to those treated with STsT. The estimate remained consistent until 5 years of follow-up. Similarly, CSR was greater in those treated with TcSxVT compared to STsT at 3 years (RR</w:t>
      </w:r>
      <w:r w:rsidR="005374F3">
        <w:rPr>
          <w:rFonts w:cstheme="minorHAnsi"/>
          <w:sz w:val="24"/>
          <w:szCs w:val="24"/>
        </w:rPr>
        <w:t xml:space="preserve"> 3.06; CI: 1.65, 5.66</w:t>
      </w:r>
      <w:r>
        <w:rPr>
          <w:rFonts w:cstheme="minorHAnsi"/>
          <w:sz w:val="24"/>
          <w:szCs w:val="24"/>
        </w:rPr>
        <w:t>) to 5 years (RR</w:t>
      </w:r>
      <w:r w:rsidR="005374F3">
        <w:rPr>
          <w:rFonts w:cstheme="minorHAnsi"/>
          <w:sz w:val="24"/>
          <w:szCs w:val="24"/>
        </w:rPr>
        <w:t xml:space="preserve"> 2.65; CI: 1.58, 4.45</w:t>
      </w:r>
      <w:r>
        <w:rPr>
          <w:rFonts w:cstheme="minorHAnsi"/>
          <w:sz w:val="24"/>
          <w:szCs w:val="24"/>
        </w:rPr>
        <w:t>) of follow-up.</w:t>
      </w:r>
      <w:r w:rsidR="009F2420">
        <w:rPr>
          <w:rFonts w:cstheme="minorHAnsi"/>
          <w:sz w:val="24"/>
          <w:szCs w:val="24"/>
        </w:rPr>
        <w:t xml:space="preserve"> However, </w:t>
      </w:r>
      <w:r w:rsidR="00F04E5E">
        <w:rPr>
          <w:rFonts w:cstheme="minorHAnsi"/>
          <w:sz w:val="24"/>
          <w:szCs w:val="24"/>
        </w:rPr>
        <w:t>the risk of achieving CSR was similar in patients treated with the ETsT approach compared to those treated with TcSxVT from 3 (RR #####</w:t>
      </w:r>
      <w:proofErr w:type="gramStart"/>
      <w:r w:rsidR="00F04E5E">
        <w:rPr>
          <w:rFonts w:cstheme="minorHAnsi"/>
          <w:sz w:val="24"/>
          <w:szCs w:val="24"/>
        </w:rPr>
        <w:t>)  to</w:t>
      </w:r>
      <w:proofErr w:type="gramEnd"/>
      <w:r w:rsidR="00F04E5E">
        <w:rPr>
          <w:rFonts w:cstheme="minorHAnsi"/>
          <w:sz w:val="24"/>
          <w:szCs w:val="24"/>
        </w:rPr>
        <w:t xml:space="preserve"> 5 (RR #####) years of follow-up.  At 5 years of follow-up, CSR was not different when comparing IMT to ETsT. In contrast, at 10 years of follow-up ETsT seems to increase the probability of CSR compared to BTcT. </w:t>
      </w:r>
    </w:p>
    <w:p w14:paraId="453F6974" w14:textId="77777777" w:rsidR="00F04E5E" w:rsidRPr="00B757E5" w:rsidRDefault="00F04E5E" w:rsidP="001A7ABC">
      <w:pPr>
        <w:spacing w:line="480" w:lineRule="auto"/>
        <w:rPr>
          <w:rFonts w:cstheme="minorHAnsi"/>
          <w:sz w:val="24"/>
          <w:szCs w:val="24"/>
        </w:rPr>
      </w:pPr>
    </w:p>
    <w:p w14:paraId="65116C8C" w14:textId="3CCD23BB" w:rsidR="00B757E5" w:rsidRDefault="00FD50D1" w:rsidP="009A06F8">
      <w:pPr>
        <w:tabs>
          <w:tab w:val="left" w:pos="5547"/>
        </w:tabs>
        <w:spacing w:line="480" w:lineRule="auto"/>
        <w:rPr>
          <w:rFonts w:cstheme="minorHAnsi"/>
          <w:b/>
          <w:bCs/>
          <w:i/>
          <w:iCs/>
          <w:sz w:val="24"/>
          <w:szCs w:val="24"/>
        </w:rPr>
      </w:pPr>
      <w:proofErr w:type="gramStart"/>
      <w:r>
        <w:rPr>
          <w:rFonts w:cstheme="minorHAnsi"/>
          <w:b/>
          <w:bCs/>
          <w:i/>
          <w:iCs/>
          <w:sz w:val="24"/>
          <w:szCs w:val="24"/>
        </w:rPr>
        <w:t>Less</w:t>
      </w:r>
      <w:r w:rsidR="00F04E5E">
        <w:rPr>
          <w:rFonts w:cstheme="minorHAnsi"/>
          <w:b/>
          <w:bCs/>
          <w:i/>
          <w:iCs/>
          <w:sz w:val="24"/>
          <w:szCs w:val="24"/>
        </w:rPr>
        <w:t>-</w:t>
      </w:r>
      <w:r>
        <w:rPr>
          <w:rFonts w:cstheme="minorHAnsi"/>
          <w:b/>
          <w:bCs/>
          <w:i/>
          <w:iCs/>
          <w:sz w:val="24"/>
          <w:szCs w:val="24"/>
        </w:rPr>
        <w:t>aggressive</w:t>
      </w:r>
      <w:proofErr w:type="gramEnd"/>
      <w:r w:rsidR="00B757E5">
        <w:rPr>
          <w:rFonts w:cstheme="minorHAnsi"/>
          <w:b/>
          <w:bCs/>
          <w:i/>
          <w:iCs/>
          <w:sz w:val="24"/>
          <w:szCs w:val="24"/>
        </w:rPr>
        <w:t xml:space="preserve"> </w:t>
      </w:r>
      <w:r w:rsidR="009A06F8">
        <w:rPr>
          <w:rFonts w:cstheme="minorHAnsi"/>
          <w:b/>
          <w:bCs/>
          <w:i/>
          <w:iCs/>
          <w:sz w:val="24"/>
          <w:szCs w:val="24"/>
        </w:rPr>
        <w:t xml:space="preserve">vs. aggressive </w:t>
      </w:r>
      <w:r w:rsidR="00B757E5">
        <w:rPr>
          <w:rFonts w:cstheme="minorHAnsi"/>
          <w:b/>
          <w:bCs/>
          <w:i/>
          <w:iCs/>
          <w:sz w:val="24"/>
          <w:szCs w:val="24"/>
        </w:rPr>
        <w:t>surgical approaches</w:t>
      </w:r>
      <w:r w:rsidR="009A06F8">
        <w:rPr>
          <w:rFonts w:cstheme="minorHAnsi"/>
          <w:b/>
          <w:bCs/>
          <w:i/>
          <w:iCs/>
          <w:sz w:val="24"/>
          <w:szCs w:val="24"/>
        </w:rPr>
        <w:tab/>
      </w:r>
    </w:p>
    <w:p w14:paraId="7C91B5DC" w14:textId="6A1A55BA" w:rsidR="009A06F8" w:rsidRDefault="00FD50D1" w:rsidP="009A06F8">
      <w:pPr>
        <w:tabs>
          <w:tab w:val="left" w:pos="5547"/>
        </w:tabs>
        <w:spacing w:line="480" w:lineRule="auto"/>
        <w:rPr>
          <w:rFonts w:cstheme="minorHAnsi"/>
          <w:sz w:val="24"/>
          <w:szCs w:val="24"/>
        </w:rPr>
      </w:pPr>
      <w:r>
        <w:rPr>
          <w:rFonts w:cstheme="minorHAnsi"/>
          <w:sz w:val="24"/>
          <w:szCs w:val="24"/>
        </w:rPr>
        <w:t xml:space="preserve">A total of </w:t>
      </w:r>
      <w:r w:rsidR="00957315">
        <w:rPr>
          <w:rFonts w:cstheme="minorHAnsi"/>
          <w:sz w:val="24"/>
          <w:szCs w:val="24"/>
        </w:rPr>
        <w:t>4</w:t>
      </w:r>
      <w:r>
        <w:rPr>
          <w:rFonts w:cstheme="minorHAnsi"/>
          <w:sz w:val="24"/>
          <w:szCs w:val="24"/>
        </w:rPr>
        <w:t xml:space="preserve"> studies</w:t>
      </w:r>
      <w:r w:rsidR="001E17DC">
        <w:rPr>
          <w:rFonts w:cstheme="minorHAnsi"/>
          <w:sz w:val="24"/>
          <w:szCs w:val="24"/>
        </w:rPr>
        <w:t xml:space="preserve"> were eligible </w:t>
      </w:r>
      <w:r w:rsidR="00F04E5E">
        <w:rPr>
          <w:rFonts w:cstheme="minorHAnsi"/>
          <w:sz w:val="24"/>
          <w:szCs w:val="24"/>
        </w:rPr>
        <w:t xml:space="preserve">compared a less-aggressive approach with an aggressive approach </w:t>
      </w:r>
      <w:proofErr w:type="gramStart"/>
      <w:r w:rsidR="00F04E5E">
        <w:rPr>
          <w:rFonts w:cstheme="minorHAnsi"/>
          <w:sz w:val="24"/>
          <w:szCs w:val="24"/>
        </w:rPr>
        <w:t xml:space="preserve">and </w:t>
      </w:r>
      <w:r w:rsidR="001E17DC">
        <w:rPr>
          <w:rFonts w:cstheme="minorHAnsi"/>
          <w:sz w:val="24"/>
          <w:szCs w:val="24"/>
        </w:rPr>
        <w:t xml:space="preserve"> </w:t>
      </w:r>
      <w:r w:rsidR="00F04E5E">
        <w:rPr>
          <w:rFonts w:cstheme="minorHAnsi"/>
          <w:sz w:val="24"/>
          <w:szCs w:val="24"/>
        </w:rPr>
        <w:t>included</w:t>
      </w:r>
      <w:proofErr w:type="gramEnd"/>
      <w:r w:rsidR="00F04E5E">
        <w:rPr>
          <w:rFonts w:cstheme="minorHAnsi"/>
          <w:sz w:val="24"/>
          <w:szCs w:val="24"/>
        </w:rPr>
        <w:t xml:space="preserve"> </w:t>
      </w:r>
      <w:r w:rsidR="001E17DC">
        <w:rPr>
          <w:rFonts w:cstheme="minorHAnsi"/>
          <w:sz w:val="24"/>
          <w:szCs w:val="24"/>
        </w:rPr>
        <w:t xml:space="preserve">918 patients. </w:t>
      </w:r>
      <w:r w:rsidR="00D256A8">
        <w:rPr>
          <w:rFonts w:cstheme="minorHAnsi"/>
          <w:sz w:val="24"/>
          <w:szCs w:val="24"/>
        </w:rPr>
        <w:t xml:space="preserve">The analysis of CSR </w:t>
      </w:r>
      <w:r w:rsidR="00112D85">
        <w:rPr>
          <w:rFonts w:cstheme="minorHAnsi"/>
          <w:sz w:val="24"/>
          <w:szCs w:val="24"/>
        </w:rPr>
        <w:t>shows</w:t>
      </w:r>
      <w:r w:rsidR="00D256A8">
        <w:rPr>
          <w:rFonts w:cstheme="minorHAnsi"/>
          <w:sz w:val="24"/>
          <w:szCs w:val="24"/>
        </w:rPr>
        <w:t xml:space="preserve"> no </w:t>
      </w:r>
      <w:r w:rsidR="001E17DC">
        <w:rPr>
          <w:rFonts w:cstheme="minorHAnsi"/>
          <w:sz w:val="24"/>
          <w:szCs w:val="24"/>
        </w:rPr>
        <w:t xml:space="preserve">difference </w:t>
      </w:r>
      <w:r w:rsidR="00D17DF2">
        <w:rPr>
          <w:rFonts w:cstheme="minorHAnsi"/>
          <w:sz w:val="24"/>
          <w:szCs w:val="24"/>
        </w:rPr>
        <w:t xml:space="preserve">across all comparisons at different follow-ups. For instance, </w:t>
      </w:r>
      <w:r w:rsidR="001E17DC">
        <w:rPr>
          <w:rFonts w:cstheme="minorHAnsi"/>
          <w:sz w:val="24"/>
          <w:szCs w:val="24"/>
        </w:rPr>
        <w:t>between VATET uni or bi versus ETsT</w:t>
      </w:r>
      <w:r w:rsidR="00D256A8">
        <w:rPr>
          <w:rFonts w:cstheme="minorHAnsi"/>
          <w:sz w:val="24"/>
          <w:szCs w:val="24"/>
        </w:rPr>
        <w:t xml:space="preserve"> from 3(RR 0.63</w:t>
      </w:r>
      <w:r w:rsidR="00DB05D9">
        <w:rPr>
          <w:rFonts w:cstheme="minorHAnsi"/>
          <w:sz w:val="24"/>
          <w:szCs w:val="24"/>
        </w:rPr>
        <w:t>; CI: 0.38, 1.04</w:t>
      </w:r>
      <w:r w:rsidR="00D256A8">
        <w:rPr>
          <w:rFonts w:cstheme="minorHAnsi"/>
          <w:sz w:val="24"/>
          <w:szCs w:val="24"/>
        </w:rPr>
        <w:t>) to 8 years</w:t>
      </w:r>
      <w:r w:rsidR="00DB05D9">
        <w:rPr>
          <w:rFonts w:cstheme="minorHAnsi"/>
          <w:sz w:val="24"/>
          <w:szCs w:val="24"/>
        </w:rPr>
        <w:t xml:space="preserve"> (RR 0.70; CI: 0.45, 1.09)</w:t>
      </w:r>
      <w:r w:rsidR="00112D85">
        <w:rPr>
          <w:rFonts w:cstheme="minorHAnsi"/>
          <w:sz w:val="24"/>
          <w:szCs w:val="24"/>
        </w:rPr>
        <w:t>.</w:t>
      </w:r>
      <w:r w:rsidR="00D17DF2">
        <w:rPr>
          <w:rFonts w:cstheme="minorHAnsi"/>
          <w:sz w:val="24"/>
          <w:szCs w:val="24"/>
        </w:rPr>
        <w:t>And</w:t>
      </w:r>
      <w:r w:rsidR="00112D85">
        <w:rPr>
          <w:rFonts w:cstheme="minorHAnsi"/>
          <w:sz w:val="24"/>
          <w:szCs w:val="24"/>
        </w:rPr>
        <w:t xml:space="preserve">, there is not difference </w:t>
      </w:r>
      <w:r w:rsidR="00D17DF2">
        <w:rPr>
          <w:rFonts w:cstheme="minorHAnsi"/>
          <w:sz w:val="24"/>
          <w:szCs w:val="24"/>
        </w:rPr>
        <w:t xml:space="preserve">when </w:t>
      </w:r>
      <w:r w:rsidR="00112D85">
        <w:rPr>
          <w:rFonts w:cstheme="minorHAnsi"/>
          <w:sz w:val="24"/>
          <w:szCs w:val="24"/>
        </w:rPr>
        <w:t xml:space="preserve">VATS uni </w:t>
      </w:r>
      <w:r w:rsidR="00D17DF2">
        <w:rPr>
          <w:rFonts w:cstheme="minorHAnsi"/>
          <w:sz w:val="24"/>
          <w:szCs w:val="24"/>
        </w:rPr>
        <w:t xml:space="preserve">was </w:t>
      </w:r>
      <w:r w:rsidR="00112D85">
        <w:rPr>
          <w:rFonts w:cstheme="minorHAnsi"/>
          <w:sz w:val="24"/>
          <w:szCs w:val="24"/>
        </w:rPr>
        <w:t xml:space="preserve">compared with STsT and ETsT in </w:t>
      </w:r>
      <w:r w:rsidR="00D17DF2">
        <w:rPr>
          <w:rFonts w:cstheme="minorHAnsi"/>
          <w:sz w:val="24"/>
          <w:szCs w:val="24"/>
        </w:rPr>
        <w:t>increasing the risk of developing CSR</w:t>
      </w:r>
      <w:r w:rsidR="00CA0BF6">
        <w:rPr>
          <w:rFonts w:cstheme="minorHAnsi"/>
          <w:sz w:val="24"/>
          <w:szCs w:val="24"/>
        </w:rPr>
        <w:t xml:space="preserve"> (Fig. </w:t>
      </w:r>
      <w:r w:rsidR="00983A98">
        <w:rPr>
          <w:rFonts w:cstheme="minorHAnsi"/>
          <w:sz w:val="24"/>
          <w:szCs w:val="24"/>
        </w:rPr>
        <w:t>2</w:t>
      </w:r>
      <w:r w:rsidR="00CA0BF6">
        <w:rPr>
          <w:rFonts w:cstheme="minorHAnsi"/>
          <w:sz w:val="24"/>
          <w:szCs w:val="24"/>
        </w:rPr>
        <w:t>)</w:t>
      </w:r>
      <w:r w:rsidR="000B528D">
        <w:rPr>
          <w:rFonts w:cstheme="minorHAnsi"/>
          <w:sz w:val="24"/>
          <w:szCs w:val="24"/>
        </w:rPr>
        <w:t>.</w:t>
      </w:r>
    </w:p>
    <w:p w14:paraId="40E3AFE9" w14:textId="3A3490DF" w:rsidR="00D17DF2" w:rsidRDefault="00D17DF2" w:rsidP="009A06F8">
      <w:pPr>
        <w:tabs>
          <w:tab w:val="left" w:pos="5547"/>
        </w:tabs>
        <w:spacing w:line="480" w:lineRule="auto"/>
        <w:rPr>
          <w:rFonts w:cstheme="minorHAnsi"/>
          <w:sz w:val="24"/>
          <w:szCs w:val="24"/>
        </w:rPr>
      </w:pPr>
      <w:r>
        <w:rPr>
          <w:rFonts w:cstheme="minorHAnsi"/>
          <w:sz w:val="24"/>
          <w:szCs w:val="24"/>
        </w:rPr>
        <w:t xml:space="preserve">VATET </w:t>
      </w:r>
      <w:proofErr w:type="gramStart"/>
      <w:r>
        <w:rPr>
          <w:rFonts w:cstheme="minorHAnsi"/>
          <w:sz w:val="24"/>
          <w:szCs w:val="24"/>
        </w:rPr>
        <w:t>bi  vs</w:t>
      </w:r>
      <w:proofErr w:type="gramEnd"/>
      <w:r>
        <w:rPr>
          <w:rFonts w:cstheme="minorHAnsi"/>
          <w:sz w:val="24"/>
          <w:szCs w:val="24"/>
        </w:rPr>
        <w:t xml:space="preserve"> ETsT (HR: 2.60, 95%CI 0.88-7.72)</w:t>
      </w:r>
    </w:p>
    <w:p w14:paraId="3FAD3FC9" w14:textId="4EBA5832" w:rsidR="00D17DF2" w:rsidRPr="009A06F8" w:rsidRDefault="00D17DF2" w:rsidP="009A06F8">
      <w:pPr>
        <w:tabs>
          <w:tab w:val="left" w:pos="5547"/>
        </w:tabs>
        <w:spacing w:line="480" w:lineRule="auto"/>
        <w:rPr>
          <w:rFonts w:cstheme="minorHAnsi"/>
          <w:sz w:val="24"/>
          <w:szCs w:val="24"/>
        </w:rPr>
      </w:pPr>
      <w:r>
        <w:rPr>
          <w:rFonts w:cstheme="minorHAnsi"/>
          <w:sz w:val="24"/>
          <w:szCs w:val="24"/>
        </w:rPr>
        <w:t>The author from the study comparing VATS uni with ETsT shared their HR estimate (HR: 1.53, 95%CI 0.70-3.32</w:t>
      </w:r>
      <w:proofErr w:type="gramStart"/>
      <w:r>
        <w:rPr>
          <w:rFonts w:cstheme="minorHAnsi"/>
          <w:sz w:val="24"/>
          <w:szCs w:val="24"/>
        </w:rPr>
        <w:t>) ,</w:t>
      </w:r>
      <w:proofErr w:type="gramEnd"/>
      <w:r>
        <w:rPr>
          <w:rFonts w:cstheme="minorHAnsi"/>
          <w:sz w:val="24"/>
          <w:szCs w:val="24"/>
        </w:rPr>
        <w:t xml:space="preserve"> which was consistent with our results.</w:t>
      </w:r>
    </w:p>
    <w:p w14:paraId="31BD8115" w14:textId="70F601C1" w:rsidR="00B757E5" w:rsidRDefault="00B757E5" w:rsidP="001A7ABC">
      <w:pPr>
        <w:spacing w:line="480" w:lineRule="auto"/>
        <w:rPr>
          <w:rFonts w:cstheme="minorHAnsi"/>
          <w:b/>
          <w:bCs/>
          <w:i/>
          <w:iCs/>
          <w:sz w:val="24"/>
          <w:szCs w:val="24"/>
        </w:rPr>
      </w:pPr>
      <w:r>
        <w:rPr>
          <w:rFonts w:cstheme="minorHAnsi"/>
          <w:b/>
          <w:bCs/>
          <w:i/>
          <w:iCs/>
          <w:sz w:val="24"/>
          <w:szCs w:val="24"/>
        </w:rPr>
        <w:t>Less-aggressive vs. less-aggressive surgical approaches</w:t>
      </w:r>
    </w:p>
    <w:p w14:paraId="242B709C" w14:textId="21034E94" w:rsidR="00A84798" w:rsidRDefault="00980CAD" w:rsidP="001A7ABC">
      <w:pPr>
        <w:spacing w:line="480" w:lineRule="auto"/>
        <w:rPr>
          <w:rFonts w:cstheme="minorHAnsi"/>
          <w:sz w:val="24"/>
          <w:szCs w:val="24"/>
        </w:rPr>
      </w:pPr>
      <w:r>
        <w:rPr>
          <w:rFonts w:cstheme="minorHAnsi"/>
          <w:sz w:val="24"/>
          <w:szCs w:val="24"/>
        </w:rPr>
        <w:t xml:space="preserve">There </w:t>
      </w:r>
      <w:r w:rsidR="00601A52">
        <w:rPr>
          <w:rFonts w:cstheme="minorHAnsi"/>
          <w:sz w:val="24"/>
          <w:szCs w:val="24"/>
        </w:rPr>
        <w:t>are</w:t>
      </w:r>
      <w:r>
        <w:rPr>
          <w:rFonts w:cstheme="minorHAnsi"/>
          <w:sz w:val="24"/>
          <w:szCs w:val="24"/>
        </w:rPr>
        <w:t xml:space="preserve"> 3 </w:t>
      </w:r>
      <w:r w:rsidR="00601DD8">
        <w:rPr>
          <w:rFonts w:cstheme="minorHAnsi"/>
          <w:sz w:val="24"/>
          <w:szCs w:val="24"/>
        </w:rPr>
        <w:t>studies</w:t>
      </w:r>
      <w:r>
        <w:rPr>
          <w:rFonts w:cstheme="minorHAnsi"/>
          <w:sz w:val="24"/>
          <w:szCs w:val="24"/>
        </w:rPr>
        <w:t xml:space="preserve"> </w:t>
      </w:r>
      <w:r w:rsidR="00D17DF2">
        <w:rPr>
          <w:rFonts w:cstheme="minorHAnsi"/>
          <w:sz w:val="24"/>
          <w:szCs w:val="24"/>
        </w:rPr>
        <w:t>comparing less-aggressive</w:t>
      </w:r>
      <w:r>
        <w:rPr>
          <w:rFonts w:cstheme="minorHAnsi"/>
          <w:sz w:val="24"/>
          <w:szCs w:val="24"/>
        </w:rPr>
        <w:t xml:space="preserve"> approach</w:t>
      </w:r>
      <w:r w:rsidR="00D17DF2">
        <w:rPr>
          <w:rFonts w:cstheme="minorHAnsi"/>
          <w:sz w:val="24"/>
          <w:szCs w:val="24"/>
        </w:rPr>
        <w:t>es with another similar approach</w:t>
      </w:r>
      <w:r>
        <w:rPr>
          <w:rFonts w:cstheme="minorHAnsi"/>
          <w:sz w:val="24"/>
          <w:szCs w:val="24"/>
        </w:rPr>
        <w:t xml:space="preserve">, including 324 participants. </w:t>
      </w:r>
      <w:r w:rsidR="00092792">
        <w:rPr>
          <w:rFonts w:cstheme="minorHAnsi"/>
          <w:sz w:val="24"/>
          <w:szCs w:val="24"/>
        </w:rPr>
        <w:t>In t</w:t>
      </w:r>
      <w:r>
        <w:rPr>
          <w:rFonts w:cstheme="minorHAnsi"/>
          <w:sz w:val="24"/>
          <w:szCs w:val="24"/>
        </w:rPr>
        <w:t xml:space="preserve">he first </w:t>
      </w:r>
      <w:r w:rsidR="00092792">
        <w:rPr>
          <w:rFonts w:cstheme="minorHAnsi"/>
          <w:sz w:val="24"/>
          <w:szCs w:val="24"/>
        </w:rPr>
        <w:t>comparison</w:t>
      </w:r>
      <w:r>
        <w:rPr>
          <w:rFonts w:cstheme="minorHAnsi"/>
          <w:sz w:val="24"/>
          <w:szCs w:val="24"/>
        </w:rPr>
        <w:t xml:space="preserve">, </w:t>
      </w:r>
      <w:r w:rsidR="00D17DF2">
        <w:rPr>
          <w:rFonts w:cstheme="minorHAnsi"/>
          <w:sz w:val="24"/>
          <w:szCs w:val="24"/>
        </w:rPr>
        <w:t xml:space="preserve">VATET unilateral versus bilateral, found no different on CSR from 3 (RR 1.02; CI 0.50, 2.08) to 6 years follow-up (RR 0.91; CI 0.60, 1.39). Similarly, </w:t>
      </w:r>
      <w:r w:rsidR="00092792">
        <w:rPr>
          <w:rFonts w:cstheme="minorHAnsi"/>
          <w:sz w:val="24"/>
          <w:szCs w:val="24"/>
        </w:rPr>
        <w:t xml:space="preserve">VATS left versus right, </w:t>
      </w:r>
      <w:r w:rsidR="008D72A4">
        <w:rPr>
          <w:rFonts w:cstheme="minorHAnsi"/>
          <w:sz w:val="24"/>
          <w:szCs w:val="24"/>
        </w:rPr>
        <w:t>show</w:t>
      </w:r>
      <w:r w:rsidR="00E95E88">
        <w:rPr>
          <w:rFonts w:cstheme="minorHAnsi"/>
          <w:sz w:val="24"/>
          <w:szCs w:val="24"/>
        </w:rPr>
        <w:t>ed</w:t>
      </w:r>
      <w:r w:rsidR="008D72A4">
        <w:rPr>
          <w:rFonts w:cstheme="minorHAnsi"/>
          <w:sz w:val="24"/>
          <w:szCs w:val="24"/>
        </w:rPr>
        <w:t xml:space="preserve"> </w:t>
      </w:r>
      <w:r w:rsidR="00D17DF2">
        <w:rPr>
          <w:rFonts w:cstheme="minorHAnsi"/>
          <w:sz w:val="24"/>
          <w:szCs w:val="24"/>
        </w:rPr>
        <w:t xml:space="preserve">no </w:t>
      </w:r>
      <w:r w:rsidR="00092792">
        <w:rPr>
          <w:rFonts w:cstheme="minorHAnsi"/>
          <w:sz w:val="24"/>
          <w:szCs w:val="24"/>
        </w:rPr>
        <w:t xml:space="preserve">difference </w:t>
      </w:r>
      <w:r w:rsidR="00D17DF2">
        <w:rPr>
          <w:rFonts w:cstheme="minorHAnsi"/>
          <w:sz w:val="24"/>
          <w:szCs w:val="24"/>
        </w:rPr>
        <w:t xml:space="preserve">in achieving </w:t>
      </w:r>
      <w:r w:rsidR="008D72A4">
        <w:rPr>
          <w:rFonts w:cstheme="minorHAnsi"/>
          <w:sz w:val="24"/>
          <w:szCs w:val="24"/>
        </w:rPr>
        <w:t xml:space="preserve">CSR </w:t>
      </w:r>
      <w:r w:rsidR="00601A52">
        <w:rPr>
          <w:rFonts w:cstheme="minorHAnsi"/>
          <w:sz w:val="24"/>
          <w:szCs w:val="24"/>
        </w:rPr>
        <w:t>from 3(</w:t>
      </w:r>
      <w:r w:rsidR="008D72A4">
        <w:rPr>
          <w:rFonts w:cstheme="minorHAnsi"/>
          <w:sz w:val="24"/>
          <w:szCs w:val="24"/>
        </w:rPr>
        <w:t>RR 1.42; CI 0.38, 5.33</w:t>
      </w:r>
      <w:r w:rsidR="00601A52">
        <w:rPr>
          <w:rFonts w:cstheme="minorHAnsi"/>
          <w:sz w:val="24"/>
          <w:szCs w:val="24"/>
        </w:rPr>
        <w:t>) to 4 years</w:t>
      </w:r>
      <w:r w:rsidR="00E95E88">
        <w:rPr>
          <w:rFonts w:cstheme="minorHAnsi"/>
          <w:sz w:val="24"/>
          <w:szCs w:val="24"/>
        </w:rPr>
        <w:t xml:space="preserve"> </w:t>
      </w:r>
      <w:r w:rsidR="008D72A4">
        <w:rPr>
          <w:rFonts w:cstheme="minorHAnsi"/>
          <w:sz w:val="24"/>
          <w:szCs w:val="24"/>
        </w:rPr>
        <w:t>(RR 0.71; CI 0.33, 1.51)</w:t>
      </w:r>
      <w:r w:rsidR="00A84798">
        <w:rPr>
          <w:rFonts w:cstheme="minorHAnsi"/>
          <w:sz w:val="24"/>
          <w:szCs w:val="24"/>
        </w:rPr>
        <w:t>.</w:t>
      </w:r>
      <w:r w:rsidR="00E95E88">
        <w:rPr>
          <w:rFonts w:cstheme="minorHAnsi"/>
          <w:sz w:val="24"/>
          <w:szCs w:val="24"/>
        </w:rPr>
        <w:t xml:space="preserve"> </w:t>
      </w:r>
      <w:commentRangeStart w:id="15"/>
      <w:r w:rsidR="00D17DF2">
        <w:rPr>
          <w:rFonts w:cstheme="minorHAnsi"/>
          <w:sz w:val="24"/>
          <w:szCs w:val="24"/>
        </w:rPr>
        <w:t>However</w:t>
      </w:r>
      <w:r w:rsidR="00E95E88">
        <w:rPr>
          <w:rFonts w:cstheme="minorHAnsi"/>
          <w:sz w:val="24"/>
          <w:szCs w:val="24"/>
        </w:rPr>
        <w:t>, when</w:t>
      </w:r>
      <w:r w:rsidR="00D17DF2">
        <w:rPr>
          <w:rFonts w:cstheme="minorHAnsi"/>
          <w:sz w:val="24"/>
          <w:szCs w:val="24"/>
        </w:rPr>
        <w:t xml:space="preserve"> VATS uni with robotic was</w:t>
      </w:r>
      <w:r w:rsidR="00E95E88">
        <w:rPr>
          <w:rFonts w:cstheme="minorHAnsi"/>
          <w:sz w:val="24"/>
          <w:szCs w:val="24"/>
        </w:rPr>
        <w:t xml:space="preserve"> </w:t>
      </w:r>
      <w:r w:rsidR="00D17DF2">
        <w:rPr>
          <w:rFonts w:cstheme="minorHAnsi"/>
          <w:sz w:val="24"/>
          <w:szCs w:val="24"/>
        </w:rPr>
        <w:t>with</w:t>
      </w:r>
      <w:r w:rsidR="00E95E88">
        <w:rPr>
          <w:rFonts w:cstheme="minorHAnsi"/>
          <w:sz w:val="24"/>
          <w:szCs w:val="24"/>
        </w:rPr>
        <w:t xml:space="preserve"> VATS uni </w:t>
      </w:r>
      <w:r w:rsidR="00D17DF2">
        <w:rPr>
          <w:rFonts w:cstheme="minorHAnsi"/>
          <w:sz w:val="24"/>
          <w:szCs w:val="24"/>
        </w:rPr>
        <w:t xml:space="preserve">in terms of CSR, no </w:t>
      </w:r>
      <w:r w:rsidR="00E95E88">
        <w:rPr>
          <w:rFonts w:cstheme="minorHAnsi"/>
          <w:sz w:val="24"/>
          <w:szCs w:val="24"/>
        </w:rPr>
        <w:t xml:space="preserve">difference </w:t>
      </w:r>
      <w:r w:rsidR="00D17DF2">
        <w:rPr>
          <w:rFonts w:cstheme="minorHAnsi"/>
          <w:sz w:val="24"/>
          <w:szCs w:val="24"/>
        </w:rPr>
        <w:t xml:space="preserve">was found at </w:t>
      </w:r>
      <w:r w:rsidR="00E95E88">
        <w:rPr>
          <w:rFonts w:cstheme="minorHAnsi"/>
          <w:sz w:val="24"/>
          <w:szCs w:val="24"/>
        </w:rPr>
        <w:t>3</w:t>
      </w:r>
      <w:r w:rsidR="00D17DF2">
        <w:rPr>
          <w:rFonts w:cstheme="minorHAnsi"/>
          <w:sz w:val="24"/>
          <w:szCs w:val="24"/>
        </w:rPr>
        <w:t xml:space="preserve"> years of follow-up </w:t>
      </w:r>
      <w:r w:rsidR="00E95E88">
        <w:rPr>
          <w:rFonts w:cstheme="minorHAnsi"/>
          <w:sz w:val="24"/>
          <w:szCs w:val="24"/>
        </w:rPr>
        <w:t>(RR 1.99; CI 1.16, 3.42)</w:t>
      </w:r>
      <w:r w:rsidR="00D17DF2">
        <w:rPr>
          <w:rFonts w:cstheme="minorHAnsi"/>
          <w:sz w:val="24"/>
          <w:szCs w:val="24"/>
        </w:rPr>
        <w:t xml:space="preserve">, but </w:t>
      </w:r>
      <w:r w:rsidR="00E95E88">
        <w:rPr>
          <w:rFonts w:cstheme="minorHAnsi"/>
          <w:sz w:val="24"/>
          <w:szCs w:val="24"/>
        </w:rPr>
        <w:t xml:space="preserve">4 years (RR 1.10; CI 0.76, 1.60). </w:t>
      </w:r>
      <w:commentRangeEnd w:id="15"/>
      <w:r w:rsidR="00D17DF2">
        <w:rPr>
          <w:rStyle w:val="CommentReference"/>
        </w:rPr>
        <w:commentReference w:id="15"/>
      </w:r>
    </w:p>
    <w:p w14:paraId="76505CBB" w14:textId="6333D937" w:rsidR="00B757E5" w:rsidRDefault="00B757E5" w:rsidP="001A7ABC">
      <w:pPr>
        <w:spacing w:line="480" w:lineRule="auto"/>
        <w:rPr>
          <w:rFonts w:cstheme="minorHAnsi"/>
          <w:sz w:val="24"/>
          <w:szCs w:val="24"/>
        </w:rPr>
      </w:pPr>
    </w:p>
    <w:p w14:paraId="0C82FB07" w14:textId="77777777" w:rsidR="00F347D5" w:rsidRDefault="00F347D5" w:rsidP="001A7ABC">
      <w:pPr>
        <w:spacing w:line="480" w:lineRule="auto"/>
        <w:rPr>
          <w:rFonts w:cstheme="minorHAnsi"/>
          <w:sz w:val="24"/>
          <w:szCs w:val="24"/>
        </w:rPr>
      </w:pPr>
    </w:p>
    <w:p w14:paraId="0F7C460C" w14:textId="77777777" w:rsidR="00394AF6" w:rsidRPr="001A7ABC" w:rsidRDefault="00394AF6" w:rsidP="001A7ABC">
      <w:pPr>
        <w:spacing w:line="480" w:lineRule="auto"/>
        <w:rPr>
          <w:rFonts w:cstheme="minorHAnsi"/>
          <w:sz w:val="24"/>
          <w:szCs w:val="24"/>
        </w:rPr>
      </w:pPr>
    </w:p>
    <w:p w14:paraId="61875030" w14:textId="77777777" w:rsidR="001A7ABC" w:rsidRPr="001A7ABC" w:rsidRDefault="001A7ABC" w:rsidP="001A7ABC">
      <w:pPr>
        <w:spacing w:line="480" w:lineRule="auto"/>
        <w:rPr>
          <w:rFonts w:cstheme="minorHAnsi"/>
          <w:b/>
          <w:bCs/>
          <w:sz w:val="24"/>
          <w:szCs w:val="24"/>
        </w:rPr>
      </w:pPr>
      <w:r w:rsidRPr="001A7ABC">
        <w:rPr>
          <w:rFonts w:cstheme="minorHAnsi"/>
          <w:b/>
          <w:bCs/>
          <w:sz w:val="24"/>
          <w:szCs w:val="24"/>
        </w:rPr>
        <w:t>Discussion</w:t>
      </w:r>
    </w:p>
    <w:p w14:paraId="1F1C2E50" w14:textId="77777777" w:rsidR="001A7ABC" w:rsidRPr="001A7ABC" w:rsidRDefault="001A7ABC" w:rsidP="001A7ABC">
      <w:pPr>
        <w:spacing w:line="480" w:lineRule="auto"/>
        <w:rPr>
          <w:rFonts w:cstheme="minorHAnsi"/>
          <w:sz w:val="24"/>
          <w:szCs w:val="24"/>
        </w:rPr>
      </w:pPr>
      <w:r w:rsidRPr="001A7ABC">
        <w:rPr>
          <w:rFonts w:cstheme="minorHAnsi"/>
          <w:sz w:val="24"/>
          <w:szCs w:val="24"/>
        </w:rPr>
        <w:t>It is controversial that which surgical technique is more effective in MG. However, based on the comparative studies included in this systematic review, less invasive thymectomy approaches give similar results to more aggressive approaches. Moreover, among more aggressive approach, T3-b (Extended Trans sternal approach) seems to have better CSR in the follow-up.</w:t>
      </w:r>
    </w:p>
    <w:p w14:paraId="29DF72DA" w14:textId="3365AB8A" w:rsidR="001A7ABC" w:rsidRPr="001A7ABC" w:rsidRDefault="001A7ABC" w:rsidP="001A7ABC">
      <w:pPr>
        <w:spacing w:line="480" w:lineRule="auto"/>
        <w:rPr>
          <w:rFonts w:cstheme="minorHAnsi"/>
          <w:sz w:val="24"/>
          <w:szCs w:val="24"/>
        </w:rPr>
      </w:pPr>
      <w:r w:rsidRPr="001A7ABC">
        <w:rPr>
          <w:rFonts w:cstheme="minorHAnsi"/>
          <w:sz w:val="24"/>
          <w:szCs w:val="24"/>
        </w:rPr>
        <w:t xml:space="preserve">The operative time was significantly shorter in the STsT. </w:t>
      </w:r>
    </w:p>
    <w:p w14:paraId="0AB515B8" w14:textId="1D35D464" w:rsidR="00BB7BE7" w:rsidRDefault="001A7ABC" w:rsidP="001A7ABC">
      <w:pPr>
        <w:spacing w:line="480" w:lineRule="auto"/>
        <w:rPr>
          <w:rFonts w:cstheme="minorHAnsi"/>
          <w:sz w:val="24"/>
          <w:szCs w:val="24"/>
        </w:rPr>
      </w:pPr>
      <w:r w:rsidRPr="001A7ABC">
        <w:rPr>
          <w:rFonts w:cstheme="minorHAnsi"/>
          <w:sz w:val="24"/>
          <w:szCs w:val="24"/>
        </w:rPr>
        <w:t>There is no doubt that minimally invasive approaches have a shorter hospitalization time than those with more invasive approaches.</w:t>
      </w:r>
    </w:p>
    <w:p w14:paraId="2053624D" w14:textId="6626E637" w:rsidR="009247EA" w:rsidRPr="00C243B7" w:rsidRDefault="00A0189D" w:rsidP="009247EA">
      <w:pPr>
        <w:spacing w:line="480" w:lineRule="auto"/>
        <w:rPr>
          <w:rFonts w:cstheme="minorHAnsi"/>
          <w:sz w:val="24"/>
          <w:szCs w:val="24"/>
        </w:rPr>
      </w:pPr>
      <w:r>
        <w:rPr>
          <w:rFonts w:cstheme="minorHAnsi"/>
          <w:sz w:val="24"/>
          <w:szCs w:val="24"/>
        </w:rPr>
        <w:tab/>
      </w:r>
    </w:p>
    <w:p w14:paraId="73DA47C4" w14:textId="4BDC2D73" w:rsidR="005E730D" w:rsidRDefault="005E730D" w:rsidP="00584A7B">
      <w:pPr>
        <w:spacing w:line="480" w:lineRule="auto"/>
        <w:rPr>
          <w:rFonts w:cstheme="minorHAnsi"/>
          <w:b/>
          <w:bCs/>
          <w:sz w:val="24"/>
          <w:szCs w:val="24"/>
        </w:rPr>
      </w:pPr>
    </w:p>
    <w:p w14:paraId="552DCFCD" w14:textId="6579E903" w:rsidR="00A660EE" w:rsidRDefault="007638D7" w:rsidP="001356AD">
      <w:pPr>
        <w:spacing w:line="480" w:lineRule="auto"/>
        <w:rPr>
          <w:rFonts w:cstheme="minorHAnsi"/>
          <w:sz w:val="24"/>
          <w:szCs w:val="24"/>
        </w:rPr>
      </w:pPr>
      <w:r>
        <w:rPr>
          <w:rFonts w:cstheme="minorHAnsi"/>
          <w:b/>
          <w:bCs/>
          <w:sz w:val="24"/>
          <w:szCs w:val="24"/>
        </w:rPr>
        <w:tab/>
      </w:r>
    </w:p>
    <w:p w14:paraId="60A73AF7" w14:textId="77777777" w:rsidR="00425218" w:rsidRDefault="00425218" w:rsidP="00425218">
      <w:pPr>
        <w:spacing w:line="480" w:lineRule="auto"/>
        <w:ind w:firstLine="720"/>
        <w:rPr>
          <w:rFonts w:cstheme="minorHAnsi"/>
          <w:sz w:val="24"/>
          <w:szCs w:val="24"/>
        </w:rPr>
      </w:pPr>
    </w:p>
    <w:p w14:paraId="01FA8A3A" w14:textId="77777777" w:rsidR="00425218" w:rsidRDefault="00425218" w:rsidP="00425218">
      <w:pPr>
        <w:spacing w:line="480" w:lineRule="auto"/>
        <w:ind w:firstLine="720"/>
        <w:rPr>
          <w:rFonts w:cstheme="minorHAnsi"/>
          <w:sz w:val="24"/>
          <w:szCs w:val="24"/>
        </w:rPr>
      </w:pPr>
    </w:p>
    <w:p w14:paraId="4DCA6304" w14:textId="77777777" w:rsidR="00425218" w:rsidRDefault="00425218" w:rsidP="00425218">
      <w:pPr>
        <w:spacing w:line="480" w:lineRule="auto"/>
        <w:ind w:firstLine="720"/>
        <w:rPr>
          <w:rFonts w:cstheme="minorHAnsi"/>
          <w:sz w:val="24"/>
          <w:szCs w:val="24"/>
        </w:rPr>
      </w:pPr>
    </w:p>
    <w:p w14:paraId="1E7A15E2" w14:textId="77777777" w:rsidR="00425218" w:rsidRDefault="00425218" w:rsidP="00425218">
      <w:pPr>
        <w:spacing w:line="480" w:lineRule="auto"/>
        <w:ind w:firstLine="720"/>
        <w:rPr>
          <w:rFonts w:cstheme="minorHAnsi"/>
          <w:sz w:val="24"/>
          <w:szCs w:val="24"/>
        </w:rPr>
      </w:pPr>
    </w:p>
    <w:p w14:paraId="4FD44E3C" w14:textId="5B3D4A3C" w:rsidR="00A660EE" w:rsidRDefault="00A660EE" w:rsidP="00584A7B">
      <w:pPr>
        <w:spacing w:line="480" w:lineRule="auto"/>
        <w:rPr>
          <w:rFonts w:cstheme="minorHAnsi"/>
          <w:b/>
          <w:bCs/>
          <w:sz w:val="24"/>
          <w:szCs w:val="24"/>
        </w:rPr>
      </w:pPr>
    </w:p>
    <w:p w14:paraId="5955C519" w14:textId="5AF48197" w:rsidR="00A660EE" w:rsidRDefault="00A660EE" w:rsidP="00584A7B">
      <w:pPr>
        <w:spacing w:line="480" w:lineRule="auto"/>
        <w:rPr>
          <w:rFonts w:cstheme="minorHAnsi"/>
          <w:b/>
          <w:bCs/>
          <w:sz w:val="24"/>
          <w:szCs w:val="24"/>
        </w:rPr>
      </w:pPr>
    </w:p>
    <w:p w14:paraId="711C70CB" w14:textId="6160248B" w:rsidR="00A660EE" w:rsidRDefault="00A660EE" w:rsidP="00584A7B">
      <w:pPr>
        <w:spacing w:line="480" w:lineRule="auto"/>
        <w:rPr>
          <w:rFonts w:cstheme="minorHAnsi"/>
          <w:b/>
          <w:bCs/>
          <w:sz w:val="24"/>
          <w:szCs w:val="24"/>
        </w:rPr>
      </w:pPr>
    </w:p>
    <w:p w14:paraId="4066D405" w14:textId="1DEEB48B" w:rsidR="00A660EE" w:rsidRDefault="00A660EE" w:rsidP="00584A7B">
      <w:pPr>
        <w:spacing w:line="480" w:lineRule="auto"/>
        <w:rPr>
          <w:rFonts w:cstheme="minorHAnsi"/>
          <w:b/>
          <w:bCs/>
          <w:sz w:val="24"/>
          <w:szCs w:val="24"/>
        </w:rPr>
      </w:pPr>
    </w:p>
    <w:p w14:paraId="69910718" w14:textId="1FEB5AC7" w:rsidR="00A660EE" w:rsidRPr="00A660EE" w:rsidRDefault="00A660EE" w:rsidP="00584A7B">
      <w:pPr>
        <w:spacing w:line="480" w:lineRule="auto"/>
        <w:rPr>
          <w:rFonts w:cstheme="minorHAnsi"/>
          <w:b/>
          <w:bCs/>
          <w:sz w:val="24"/>
          <w:szCs w:val="24"/>
        </w:rPr>
      </w:pPr>
    </w:p>
    <w:sectPr w:rsidR="00A660EE" w:rsidRPr="00A660EE" w:rsidSect="000E4026">
      <w:head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a Paola Solis Pazmiño" w:date="2020-04-22T04:46:00Z" w:initials="APSP">
    <w:p w14:paraId="27C0770E" w14:textId="457FD422" w:rsidR="00F04E5E" w:rsidRDefault="00F04E5E">
      <w:pPr>
        <w:pStyle w:val="CommentText"/>
      </w:pPr>
      <w:r>
        <w:rPr>
          <w:rStyle w:val="CommentReference"/>
        </w:rPr>
        <w:annotationRef/>
      </w:r>
      <w:hyperlink r:id="rId1" w:history="1">
        <w:r>
          <w:rPr>
            <w:rStyle w:val="Hyperlink"/>
          </w:rPr>
          <w:t>https://journals.plos.org/plosmedicine/article?id=10.1371/journal.pmed.1000100</w:t>
        </w:r>
      </w:hyperlink>
    </w:p>
  </w:comment>
  <w:comment w:id="1" w:author="Andrea Paola Solis Pazmiño" w:date="2020-04-22T05:17:00Z" w:initials="APSP">
    <w:p w14:paraId="75846A90" w14:textId="73B7CA8E" w:rsidR="00F04E5E" w:rsidRDefault="00F04E5E">
      <w:pPr>
        <w:pStyle w:val="CommentText"/>
      </w:pPr>
      <w:r>
        <w:rPr>
          <w:rStyle w:val="CommentReference"/>
        </w:rPr>
        <w:annotationRef/>
      </w:r>
      <w:hyperlink r:id="rId2" w:history="1">
        <w:r>
          <w:rPr>
            <w:rStyle w:val="Hyperlink"/>
          </w:rPr>
          <w:t>https://www.evidencepartners.com/</w:t>
        </w:r>
      </w:hyperlink>
    </w:p>
  </w:comment>
  <w:comment w:id="2" w:author="Andrea Paola Solis Pazmiño" w:date="2020-04-22T07:18:00Z" w:initials="APSP">
    <w:p w14:paraId="24925845" w14:textId="10CBA280" w:rsidR="00F04E5E" w:rsidRDefault="00F04E5E">
      <w:pPr>
        <w:pStyle w:val="CommentText"/>
      </w:pPr>
      <w:r>
        <w:rPr>
          <w:rStyle w:val="CommentReference"/>
        </w:rPr>
        <w:annotationRef/>
      </w:r>
      <w:r w:rsidRPr="00510B71">
        <w:t>https://pubmed.ncbi.nlm.nih.gov/13558746/?from_single_result=13558746&amp;expanded_search_query=13558746</w:t>
      </w:r>
    </w:p>
  </w:comment>
  <w:comment w:id="3" w:author="Andrea Paola Solis Pazmiño" w:date="2020-04-22T07:12:00Z" w:initials="APSP">
    <w:p w14:paraId="075F8251" w14:textId="251DB73F" w:rsidR="00F04E5E" w:rsidRDefault="00F04E5E">
      <w:pPr>
        <w:pStyle w:val="CommentText"/>
      </w:pPr>
      <w:r>
        <w:rPr>
          <w:rStyle w:val="CommentReference"/>
        </w:rPr>
        <w:annotationRef/>
      </w:r>
      <w:hyperlink r:id="rId3" w:history="1">
        <w:r>
          <w:rPr>
            <w:rStyle w:val="Hyperlink"/>
          </w:rPr>
          <w:t>https://n.neurology.org/content/55/1/16.long</w:t>
        </w:r>
      </w:hyperlink>
    </w:p>
  </w:comment>
  <w:comment w:id="4" w:author="Oscar Ponce" w:date="2020-05-13T21:55:00Z" w:initials="OP">
    <w:p w14:paraId="7B1016C0" w14:textId="7BCCA983" w:rsidR="00F04E5E" w:rsidRDefault="00F04E5E">
      <w:pPr>
        <w:pStyle w:val="CommentText"/>
      </w:pPr>
      <w:r>
        <w:rPr>
          <w:rStyle w:val="CommentReference"/>
        </w:rPr>
        <w:annotationRef/>
      </w:r>
      <w:proofErr w:type="spellStart"/>
      <w:r>
        <w:t>Referencia</w:t>
      </w:r>
      <w:proofErr w:type="spellEnd"/>
    </w:p>
  </w:comment>
  <w:comment w:id="6" w:author="Andrea Paola Solis Pazmiño" w:date="2020-04-22T07:44:00Z" w:initials="APSP">
    <w:p w14:paraId="3ABB5D6D" w14:textId="08EB6652" w:rsidR="00F04E5E" w:rsidRDefault="00F04E5E">
      <w:pPr>
        <w:pStyle w:val="CommentText"/>
      </w:pPr>
      <w:r>
        <w:rPr>
          <w:rStyle w:val="CommentReference"/>
        </w:rPr>
        <w:annotationRef/>
      </w:r>
      <w:hyperlink r:id="rId4" w:history="1">
        <w:r>
          <w:rPr>
            <w:rStyle w:val="Hyperlink"/>
          </w:rPr>
          <w:t>https://n.neurology.org/content/55/1/16.long</w:t>
        </w:r>
      </w:hyperlink>
    </w:p>
  </w:comment>
  <w:comment w:id="5" w:author="Oscar Ponce" w:date="2020-05-13T21:56:00Z" w:initials="OP">
    <w:p w14:paraId="68337329" w14:textId="4D522BD5" w:rsidR="00F04E5E" w:rsidRDefault="00F04E5E">
      <w:pPr>
        <w:pStyle w:val="CommentText"/>
      </w:pPr>
      <w:r>
        <w:rPr>
          <w:rStyle w:val="CommentReference"/>
        </w:rPr>
        <w:annotationRef/>
      </w:r>
      <w:proofErr w:type="spellStart"/>
      <w:r>
        <w:t>Escribir</w:t>
      </w:r>
      <w:proofErr w:type="spellEnd"/>
      <w:r>
        <w:t xml:space="preserve"> la </w:t>
      </w:r>
      <w:proofErr w:type="spellStart"/>
      <w:r>
        <w:t>definicion</w:t>
      </w:r>
      <w:proofErr w:type="spellEnd"/>
      <w:r>
        <w:t xml:space="preserve">. </w:t>
      </w:r>
    </w:p>
  </w:comment>
  <w:comment w:id="7" w:author="Oscar Ponce" w:date="2020-05-13T21:56:00Z" w:initials="OP">
    <w:p w14:paraId="682807E9" w14:textId="77777777" w:rsidR="00F04E5E" w:rsidRDefault="00F04E5E">
      <w:pPr>
        <w:pStyle w:val="CommentText"/>
      </w:pPr>
      <w:r>
        <w:rPr>
          <w:rStyle w:val="CommentReference"/>
        </w:rPr>
        <w:annotationRef/>
      </w:r>
      <w:r>
        <w:t xml:space="preserve">Tiene q </w:t>
      </w:r>
      <w:proofErr w:type="spellStart"/>
      <w:r>
        <w:t>ir</w:t>
      </w:r>
      <w:proofErr w:type="spellEnd"/>
      <w:r>
        <w:t xml:space="preserve"> </w:t>
      </w:r>
      <w:proofErr w:type="spellStart"/>
      <w:r>
        <w:t>en</w:t>
      </w:r>
      <w:proofErr w:type="spellEnd"/>
      <w:r>
        <w:t xml:space="preserve"> data analysis. </w:t>
      </w:r>
    </w:p>
    <w:p w14:paraId="689956DC" w14:textId="77777777" w:rsidR="00F04E5E" w:rsidRDefault="00F04E5E">
      <w:pPr>
        <w:pStyle w:val="CommentText"/>
      </w:pPr>
    </w:p>
    <w:p w14:paraId="3DDA0582" w14:textId="572A8D9A" w:rsidR="00F04E5E" w:rsidRDefault="00F04E5E">
      <w:pPr>
        <w:pStyle w:val="CommentText"/>
      </w:pPr>
      <w:r>
        <w:t xml:space="preserve">BAJAR lo q sea </w:t>
      </w:r>
      <w:proofErr w:type="spellStart"/>
      <w:r>
        <w:t>necesario</w:t>
      </w:r>
      <w:proofErr w:type="spellEnd"/>
      <w:r>
        <w:t xml:space="preserve">. </w:t>
      </w:r>
    </w:p>
  </w:comment>
  <w:comment w:id="8" w:author="Andrea Paola Solis Pazmiño" w:date="2020-04-22T08:08:00Z" w:initials="APSP">
    <w:p w14:paraId="2DED886B" w14:textId="625E31A7" w:rsidR="00F04E5E" w:rsidRDefault="00F04E5E">
      <w:pPr>
        <w:pStyle w:val="CommentText"/>
      </w:pPr>
      <w:r>
        <w:rPr>
          <w:rStyle w:val="CommentReference"/>
        </w:rPr>
        <w:annotationRef/>
      </w:r>
      <w:hyperlink r:id="rId5" w:history="1">
        <w:r>
          <w:rPr>
            <w:rStyle w:val="Hyperlink"/>
          </w:rPr>
          <w:t>https://www.evidencepartners.com/wp-content/uploads/2017/09/Tool-to-Assess-Risk-of-Bias-in-Cohort-Studies.pdf</w:t>
        </w:r>
      </w:hyperlink>
    </w:p>
  </w:comment>
  <w:comment w:id="9" w:author="Andrea Paola Solis Pazmiño" w:date="2020-04-22T08:08:00Z" w:initials="APSP">
    <w:p w14:paraId="77278261" w14:textId="6DB4CC71" w:rsidR="00F04E5E" w:rsidRDefault="00F04E5E">
      <w:pPr>
        <w:pStyle w:val="CommentText"/>
      </w:pPr>
      <w:r>
        <w:rPr>
          <w:rStyle w:val="CommentReference"/>
        </w:rPr>
        <w:annotationRef/>
      </w:r>
      <w:hyperlink r:id="rId6" w:history="1">
        <w:r>
          <w:rPr>
            <w:rStyle w:val="Hyperlink"/>
          </w:rPr>
          <w:t>https://www.evidencepartners.com/wp-content/uploads/2017/09/Tool-to-Assess-Risk-of-Bias-in-Case-Control-Studies.pdf</w:t>
        </w:r>
      </w:hyperlink>
    </w:p>
  </w:comment>
  <w:comment w:id="10" w:author="Andrea Paola Solis Pazmiño" w:date="2020-05-11T12:34:00Z" w:initials="APSP">
    <w:p w14:paraId="0400597D" w14:textId="077ED461" w:rsidR="00F04E5E" w:rsidRDefault="00F04E5E">
      <w:pPr>
        <w:pStyle w:val="CommentText"/>
      </w:pPr>
      <w:r>
        <w:rPr>
          <w:rStyle w:val="CommentReference"/>
        </w:rPr>
        <w:annotationRef/>
      </w:r>
      <w:r w:rsidRPr="00D3017E">
        <w:rPr>
          <w:rFonts w:ascii="Calibri" w:hAnsi="Calibri" w:cs="Calibri"/>
          <w:noProof/>
          <w:szCs w:val="24"/>
        </w:rPr>
        <w:t xml:space="preserve">Nyaga VN, Arbyn M, Aerts M. Metaprop: A Stata command to perform meta-analysis of binomial data. </w:t>
      </w:r>
      <w:r w:rsidRPr="00D3017E">
        <w:rPr>
          <w:rFonts w:ascii="Calibri" w:hAnsi="Calibri" w:cs="Calibri"/>
          <w:i/>
          <w:iCs/>
          <w:noProof/>
          <w:szCs w:val="24"/>
        </w:rPr>
        <w:t>Arch Public Heal</w:t>
      </w:r>
      <w:r w:rsidRPr="00D3017E">
        <w:rPr>
          <w:rFonts w:ascii="Calibri" w:hAnsi="Calibri" w:cs="Calibri"/>
          <w:noProof/>
          <w:szCs w:val="24"/>
        </w:rPr>
        <w:t>. 2014;72(1):1-10. doi:10.1186/2049-3258-72-39</w:t>
      </w:r>
    </w:p>
  </w:comment>
  <w:comment w:id="11" w:author="Andrea Paola Solis Pazmiño" w:date="2020-05-11T12:35:00Z" w:initials="APSP">
    <w:p w14:paraId="5DEABC90" w14:textId="26D5B8D3" w:rsidR="00F04E5E" w:rsidRDefault="00F04E5E">
      <w:pPr>
        <w:pStyle w:val="CommentText"/>
      </w:pPr>
      <w:r>
        <w:rPr>
          <w:rStyle w:val="CommentReference"/>
        </w:rPr>
        <w:annotationRef/>
      </w:r>
      <w:r w:rsidRPr="00D3017E">
        <w:rPr>
          <w:rFonts w:ascii="Calibri" w:hAnsi="Calibri" w:cs="Calibri"/>
          <w:noProof/>
          <w:szCs w:val="24"/>
        </w:rPr>
        <w:t xml:space="preserve">Higgins JPT, Thompson SG. Quantifying heterogeneity in a meta-analysis. </w:t>
      </w:r>
      <w:r w:rsidRPr="00D3017E">
        <w:rPr>
          <w:rFonts w:ascii="Calibri" w:hAnsi="Calibri" w:cs="Calibri"/>
          <w:i/>
          <w:iCs/>
          <w:noProof/>
          <w:szCs w:val="24"/>
        </w:rPr>
        <w:t>Stat Med</w:t>
      </w:r>
      <w:r w:rsidRPr="00D3017E">
        <w:rPr>
          <w:rFonts w:ascii="Calibri" w:hAnsi="Calibri" w:cs="Calibri"/>
          <w:noProof/>
          <w:szCs w:val="24"/>
        </w:rPr>
        <w:t>. 2002;21(11):1539-1558. doi:10.1002/sim.1186</w:t>
      </w:r>
    </w:p>
  </w:comment>
  <w:comment w:id="12" w:author="Andrea Paola Solis Pazmiño" w:date="2020-05-08T21:29:00Z" w:initials="APSP">
    <w:p w14:paraId="35133B43" w14:textId="707E6874" w:rsidR="00F04E5E" w:rsidRPr="00E43D5D" w:rsidRDefault="00F04E5E">
      <w:pPr>
        <w:pStyle w:val="CommentText"/>
        <w:rPr>
          <w:lang w:val="es-EC"/>
        </w:rPr>
      </w:pPr>
      <w:r>
        <w:rPr>
          <w:rStyle w:val="CommentReference"/>
        </w:rPr>
        <w:annotationRef/>
      </w:r>
      <w:hyperlink r:id="rId7" w:history="1">
        <w:r w:rsidRPr="00E43D5D">
          <w:rPr>
            <w:rStyle w:val="Hyperlink"/>
            <w:lang w:val="es-EC"/>
          </w:rPr>
          <w:t>https://pubmed.ncbi.nlm.nih.gov/27683581/</w:t>
        </w:r>
      </w:hyperlink>
    </w:p>
    <w:p w14:paraId="62128707" w14:textId="39CAFC76" w:rsidR="00F04E5E" w:rsidRPr="00E43D5D" w:rsidRDefault="00167E26">
      <w:pPr>
        <w:pStyle w:val="CommentText"/>
        <w:rPr>
          <w:lang w:val="es-EC"/>
        </w:rPr>
      </w:pPr>
      <w:hyperlink r:id="rId8" w:history="1">
        <w:r w:rsidR="00F04E5E" w:rsidRPr="00E43D5D">
          <w:rPr>
            <w:rStyle w:val="Hyperlink"/>
            <w:lang w:val="es-EC"/>
          </w:rPr>
          <w:t>http://www.math.hkbu.edu.hk/~tongt/papers/median2mean.html</w:t>
        </w:r>
      </w:hyperlink>
    </w:p>
  </w:comment>
  <w:comment w:id="13" w:author="Andrea Paola Solis Pazmiño" w:date="2020-05-08T21:56:00Z" w:initials="APSP">
    <w:p w14:paraId="373AF327" w14:textId="3C2BA106" w:rsidR="00F04E5E" w:rsidRPr="00E43D5D" w:rsidRDefault="00F04E5E">
      <w:pPr>
        <w:pStyle w:val="CommentText"/>
        <w:rPr>
          <w:lang w:val="es-EC"/>
        </w:rPr>
      </w:pPr>
      <w:r>
        <w:rPr>
          <w:rStyle w:val="CommentReference"/>
        </w:rPr>
        <w:annotationRef/>
      </w:r>
      <w:r w:rsidRPr="00E43D5D">
        <w:rPr>
          <w:lang w:val="es-EC"/>
        </w:rPr>
        <w:t>https://pubmed.ncbi.nlm.nih.gov/25524443/?from_term=%2C+%22Estimating+the+sample+mean+and+standard+deviation+from+the+sample+size%2C+median%2C+range+and%2For+interquartile+range&amp;from_pos=1</w:t>
      </w:r>
    </w:p>
  </w:comment>
  <w:comment w:id="15" w:author="Oscar Ponce" w:date="2020-05-13T22:48:00Z" w:initials="OP">
    <w:p w14:paraId="3C6CB0C0" w14:textId="39F1BEAB" w:rsidR="00D17DF2" w:rsidRDefault="00D17DF2">
      <w:pPr>
        <w:pStyle w:val="CommentText"/>
      </w:pPr>
      <w:r>
        <w:rPr>
          <w:rStyle w:val="CommentReference"/>
        </w:rPr>
        <w:annotationRef/>
      </w:r>
      <w:proofErr w:type="spellStart"/>
      <w:r>
        <w:t>Cambian</w:t>
      </w:r>
      <w:proofErr w:type="spellEnd"/>
      <w:r>
        <w:t xml:space="preserve"> los </w:t>
      </w:r>
      <w:proofErr w:type="spellStart"/>
      <w:r>
        <w:t>estimados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C0770E" w15:done="0"/>
  <w15:commentEx w15:paraId="75846A90" w15:done="0"/>
  <w15:commentEx w15:paraId="24925845" w15:done="0"/>
  <w15:commentEx w15:paraId="075F8251" w15:done="0"/>
  <w15:commentEx w15:paraId="7B1016C0" w15:done="0"/>
  <w15:commentEx w15:paraId="3ABB5D6D" w15:done="0"/>
  <w15:commentEx w15:paraId="68337329" w15:done="0"/>
  <w15:commentEx w15:paraId="3DDA0582" w15:done="0"/>
  <w15:commentEx w15:paraId="2DED886B" w15:done="0"/>
  <w15:commentEx w15:paraId="77278261" w15:done="0"/>
  <w15:commentEx w15:paraId="0400597D" w15:done="0"/>
  <w15:commentEx w15:paraId="5DEABC90" w15:done="0"/>
  <w15:commentEx w15:paraId="62128707" w15:done="0"/>
  <w15:commentEx w15:paraId="373AF327" w15:done="0"/>
  <w15:commentEx w15:paraId="3C6CB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4AB6" w16cex:dateUtc="2020-04-22T09:46:00Z"/>
  <w16cex:commentExtensible w16cex:durableId="224A5204" w16cex:dateUtc="2020-04-22T10:17:00Z"/>
  <w16cex:commentExtensible w16cex:durableId="224A6E4B" w16cex:dateUtc="2020-04-22T12:18:00Z"/>
  <w16cex:commentExtensible w16cex:durableId="224A6CE0" w16cex:dateUtc="2020-04-22T12:12:00Z"/>
  <w16cex:commentExtensible w16cex:durableId="2266EB69" w16cex:dateUtc="2020-05-14T02:55:00Z"/>
  <w16cex:commentExtensible w16cex:durableId="224A7450" w16cex:dateUtc="2020-04-22T12:44:00Z"/>
  <w16cex:commentExtensible w16cex:durableId="2266EB7B" w16cex:dateUtc="2020-05-14T02:56:00Z"/>
  <w16cex:commentExtensible w16cex:durableId="2266EBAB" w16cex:dateUtc="2020-05-14T02:56:00Z"/>
  <w16cex:commentExtensible w16cex:durableId="224A79F1" w16cex:dateUtc="2020-04-22T13:08:00Z"/>
  <w16cex:commentExtensible w16cex:durableId="224A7A10" w16cex:dateUtc="2020-04-22T13:08:00Z"/>
  <w16cex:commentExtensible w16cex:durableId="2263C4E4" w16cex:dateUtc="2020-05-11T17:34:00Z"/>
  <w16cex:commentExtensible w16cex:durableId="2263C500" w16cex:dateUtc="2020-05-11T17:35:00Z"/>
  <w16cex:commentExtensible w16cex:durableId="22604DA8" w16cex:dateUtc="2020-05-09T02:29:00Z"/>
  <w16cex:commentExtensible w16cex:durableId="22605411" w16cex:dateUtc="2020-05-09T02:56:00Z"/>
  <w16cex:commentExtensible w16cex:durableId="2266F7BA" w16cex:dateUtc="2020-05-1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C0770E" w16cid:durableId="224A4AB6"/>
  <w16cid:commentId w16cid:paraId="75846A90" w16cid:durableId="224A5204"/>
  <w16cid:commentId w16cid:paraId="24925845" w16cid:durableId="224A6E4B"/>
  <w16cid:commentId w16cid:paraId="075F8251" w16cid:durableId="224A6CE0"/>
  <w16cid:commentId w16cid:paraId="7B1016C0" w16cid:durableId="2266EB69"/>
  <w16cid:commentId w16cid:paraId="3ABB5D6D" w16cid:durableId="224A7450"/>
  <w16cid:commentId w16cid:paraId="68337329" w16cid:durableId="2266EB7B"/>
  <w16cid:commentId w16cid:paraId="3DDA0582" w16cid:durableId="2266EBAB"/>
  <w16cid:commentId w16cid:paraId="2DED886B" w16cid:durableId="224A79F1"/>
  <w16cid:commentId w16cid:paraId="77278261" w16cid:durableId="224A7A10"/>
  <w16cid:commentId w16cid:paraId="0400597D" w16cid:durableId="2263C4E4"/>
  <w16cid:commentId w16cid:paraId="5DEABC90" w16cid:durableId="2263C500"/>
  <w16cid:commentId w16cid:paraId="62128707" w16cid:durableId="22604DA8"/>
  <w16cid:commentId w16cid:paraId="373AF327" w16cid:durableId="22605411"/>
  <w16cid:commentId w16cid:paraId="3C6CB0C0" w16cid:durableId="2266F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0CD59" w14:textId="77777777" w:rsidR="00167E26" w:rsidRDefault="00167E26" w:rsidP="007E5DD8">
      <w:pPr>
        <w:spacing w:after="0" w:line="240" w:lineRule="auto"/>
      </w:pPr>
      <w:r>
        <w:separator/>
      </w:r>
    </w:p>
  </w:endnote>
  <w:endnote w:type="continuationSeparator" w:id="0">
    <w:p w14:paraId="5BF58969" w14:textId="77777777" w:rsidR="00167E26" w:rsidRDefault="00167E26" w:rsidP="007E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5EF9B" w14:textId="77777777" w:rsidR="00167E26" w:rsidRDefault="00167E26" w:rsidP="007E5DD8">
      <w:pPr>
        <w:spacing w:after="0" w:line="240" w:lineRule="auto"/>
      </w:pPr>
      <w:r>
        <w:separator/>
      </w:r>
    </w:p>
  </w:footnote>
  <w:footnote w:type="continuationSeparator" w:id="0">
    <w:p w14:paraId="2A9ADB57" w14:textId="77777777" w:rsidR="00167E26" w:rsidRDefault="00167E26" w:rsidP="007E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797383"/>
      <w:docPartObj>
        <w:docPartGallery w:val="Page Numbers (Top of Page)"/>
        <w:docPartUnique/>
      </w:docPartObj>
    </w:sdtPr>
    <w:sdtEndPr>
      <w:rPr>
        <w:noProof/>
      </w:rPr>
    </w:sdtEndPr>
    <w:sdtContent>
      <w:p w14:paraId="52041110" w14:textId="46BCC05E" w:rsidR="00F04E5E" w:rsidRDefault="00F04E5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3693827" w14:textId="77777777" w:rsidR="00F04E5E" w:rsidRDefault="00F04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3F5"/>
    <w:multiLevelType w:val="hybridMultilevel"/>
    <w:tmpl w:val="FA36908C"/>
    <w:lvl w:ilvl="0" w:tplc="9BD84D6E">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311BA2"/>
    <w:multiLevelType w:val="hybridMultilevel"/>
    <w:tmpl w:val="83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7618E"/>
    <w:multiLevelType w:val="hybridMultilevel"/>
    <w:tmpl w:val="5F4E9BD8"/>
    <w:lvl w:ilvl="0" w:tplc="D638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7BD4"/>
    <w:multiLevelType w:val="hybridMultilevel"/>
    <w:tmpl w:val="6A8E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82D6E"/>
    <w:multiLevelType w:val="hybridMultilevel"/>
    <w:tmpl w:val="975E673C"/>
    <w:lvl w:ilvl="0" w:tplc="9666385C">
      <w:start w:val="5"/>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A557DFB"/>
    <w:multiLevelType w:val="hybridMultilevel"/>
    <w:tmpl w:val="AC5E0AD8"/>
    <w:lvl w:ilvl="0" w:tplc="DC8692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0DF4"/>
    <w:multiLevelType w:val="hybridMultilevel"/>
    <w:tmpl w:val="FCBC6336"/>
    <w:lvl w:ilvl="0" w:tplc="8A7665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Paola Solis Pazmiño">
    <w15:presenceInfo w15:providerId="Windows Live" w15:userId="e08b939fb25d9eab"/>
  </w15:person>
  <w15:person w15:author="Oscar Ponce">
    <w15:presenceInfo w15:providerId="Windows Live" w15:userId="62e227bfd47ce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FED"/>
    <w:rsid w:val="00002A04"/>
    <w:rsid w:val="000052FA"/>
    <w:rsid w:val="000123D2"/>
    <w:rsid w:val="00015486"/>
    <w:rsid w:val="00015C82"/>
    <w:rsid w:val="0001725B"/>
    <w:rsid w:val="00023926"/>
    <w:rsid w:val="000360BF"/>
    <w:rsid w:val="0004124F"/>
    <w:rsid w:val="00044AFC"/>
    <w:rsid w:val="00045CF6"/>
    <w:rsid w:val="000502F3"/>
    <w:rsid w:val="00054E0F"/>
    <w:rsid w:val="00055059"/>
    <w:rsid w:val="000558CB"/>
    <w:rsid w:val="0006205A"/>
    <w:rsid w:val="00064066"/>
    <w:rsid w:val="000641E8"/>
    <w:rsid w:val="00064AAC"/>
    <w:rsid w:val="000708B3"/>
    <w:rsid w:val="0007537D"/>
    <w:rsid w:val="0008541A"/>
    <w:rsid w:val="00090096"/>
    <w:rsid w:val="0009221A"/>
    <w:rsid w:val="00092792"/>
    <w:rsid w:val="000932F8"/>
    <w:rsid w:val="000939A4"/>
    <w:rsid w:val="000A01DC"/>
    <w:rsid w:val="000B1458"/>
    <w:rsid w:val="000B4D94"/>
    <w:rsid w:val="000B528D"/>
    <w:rsid w:val="000C466D"/>
    <w:rsid w:val="000C5B76"/>
    <w:rsid w:val="000D22AD"/>
    <w:rsid w:val="000D3F4B"/>
    <w:rsid w:val="000D4E8D"/>
    <w:rsid w:val="000D6398"/>
    <w:rsid w:val="000E4026"/>
    <w:rsid w:val="000E408C"/>
    <w:rsid w:val="000E490F"/>
    <w:rsid w:val="000F0006"/>
    <w:rsid w:val="000F5DB2"/>
    <w:rsid w:val="000F6011"/>
    <w:rsid w:val="000F76A6"/>
    <w:rsid w:val="00101F63"/>
    <w:rsid w:val="0010245B"/>
    <w:rsid w:val="001044E6"/>
    <w:rsid w:val="00105954"/>
    <w:rsid w:val="00110B89"/>
    <w:rsid w:val="00111595"/>
    <w:rsid w:val="00112D85"/>
    <w:rsid w:val="0011337C"/>
    <w:rsid w:val="00114416"/>
    <w:rsid w:val="00121E5F"/>
    <w:rsid w:val="00121E81"/>
    <w:rsid w:val="00124232"/>
    <w:rsid w:val="001272B8"/>
    <w:rsid w:val="001302C1"/>
    <w:rsid w:val="00131B5B"/>
    <w:rsid w:val="001356AD"/>
    <w:rsid w:val="001410CF"/>
    <w:rsid w:val="001428EC"/>
    <w:rsid w:val="00150C84"/>
    <w:rsid w:val="001521E3"/>
    <w:rsid w:val="0016613C"/>
    <w:rsid w:val="001661ED"/>
    <w:rsid w:val="00167248"/>
    <w:rsid w:val="00167E26"/>
    <w:rsid w:val="0017123E"/>
    <w:rsid w:val="001718FF"/>
    <w:rsid w:val="00174D98"/>
    <w:rsid w:val="001758F8"/>
    <w:rsid w:val="00181949"/>
    <w:rsid w:val="0018775D"/>
    <w:rsid w:val="001A1380"/>
    <w:rsid w:val="001A447D"/>
    <w:rsid w:val="001A7ABC"/>
    <w:rsid w:val="001B2FAE"/>
    <w:rsid w:val="001B53C9"/>
    <w:rsid w:val="001C2BEE"/>
    <w:rsid w:val="001C69BE"/>
    <w:rsid w:val="001C6D04"/>
    <w:rsid w:val="001D14A0"/>
    <w:rsid w:val="001E17DC"/>
    <w:rsid w:val="001F03D0"/>
    <w:rsid w:val="001F41F7"/>
    <w:rsid w:val="001F490B"/>
    <w:rsid w:val="001F6E3E"/>
    <w:rsid w:val="001F7BD7"/>
    <w:rsid w:val="00205292"/>
    <w:rsid w:val="002061C5"/>
    <w:rsid w:val="00206F39"/>
    <w:rsid w:val="00213798"/>
    <w:rsid w:val="00216EEE"/>
    <w:rsid w:val="002175D3"/>
    <w:rsid w:val="0022107C"/>
    <w:rsid w:val="0022128E"/>
    <w:rsid w:val="002241AC"/>
    <w:rsid w:val="00225755"/>
    <w:rsid w:val="00227226"/>
    <w:rsid w:val="0023195E"/>
    <w:rsid w:val="002359C2"/>
    <w:rsid w:val="00240666"/>
    <w:rsid w:val="002428F4"/>
    <w:rsid w:val="00243B7C"/>
    <w:rsid w:val="00245A02"/>
    <w:rsid w:val="00245E6D"/>
    <w:rsid w:val="002471B6"/>
    <w:rsid w:val="00251508"/>
    <w:rsid w:val="00251725"/>
    <w:rsid w:val="002545CA"/>
    <w:rsid w:val="00255566"/>
    <w:rsid w:val="002600CF"/>
    <w:rsid w:val="00267C7D"/>
    <w:rsid w:val="00282F9A"/>
    <w:rsid w:val="00293A54"/>
    <w:rsid w:val="002A06BC"/>
    <w:rsid w:val="002A30AE"/>
    <w:rsid w:val="002A6C71"/>
    <w:rsid w:val="002B361B"/>
    <w:rsid w:val="002B3AA8"/>
    <w:rsid w:val="002B5932"/>
    <w:rsid w:val="002B5FB0"/>
    <w:rsid w:val="002D59F3"/>
    <w:rsid w:val="002D7529"/>
    <w:rsid w:val="002E0580"/>
    <w:rsid w:val="002E6B11"/>
    <w:rsid w:val="002E7750"/>
    <w:rsid w:val="002F796B"/>
    <w:rsid w:val="0030219B"/>
    <w:rsid w:val="00314A58"/>
    <w:rsid w:val="0031602F"/>
    <w:rsid w:val="00316055"/>
    <w:rsid w:val="00321321"/>
    <w:rsid w:val="00324414"/>
    <w:rsid w:val="00325DC3"/>
    <w:rsid w:val="0032776E"/>
    <w:rsid w:val="00332505"/>
    <w:rsid w:val="00332F78"/>
    <w:rsid w:val="00336DB6"/>
    <w:rsid w:val="00340A7D"/>
    <w:rsid w:val="00342854"/>
    <w:rsid w:val="00346BAB"/>
    <w:rsid w:val="00350761"/>
    <w:rsid w:val="003531E5"/>
    <w:rsid w:val="00356F2F"/>
    <w:rsid w:val="00357611"/>
    <w:rsid w:val="00357856"/>
    <w:rsid w:val="003641B9"/>
    <w:rsid w:val="00370B66"/>
    <w:rsid w:val="00374C63"/>
    <w:rsid w:val="0038098C"/>
    <w:rsid w:val="00384D85"/>
    <w:rsid w:val="00394AF6"/>
    <w:rsid w:val="003A00E5"/>
    <w:rsid w:val="003A0590"/>
    <w:rsid w:val="003A1133"/>
    <w:rsid w:val="003A7DDF"/>
    <w:rsid w:val="003B1CE3"/>
    <w:rsid w:val="003C3945"/>
    <w:rsid w:val="003C49AD"/>
    <w:rsid w:val="003C6D30"/>
    <w:rsid w:val="003C78FB"/>
    <w:rsid w:val="003D4A1F"/>
    <w:rsid w:val="003D6F9A"/>
    <w:rsid w:val="003D6FFD"/>
    <w:rsid w:val="003D71DC"/>
    <w:rsid w:val="003E0DEB"/>
    <w:rsid w:val="003E6E2F"/>
    <w:rsid w:val="003F22E9"/>
    <w:rsid w:val="003F52AA"/>
    <w:rsid w:val="00401F3E"/>
    <w:rsid w:val="004058C6"/>
    <w:rsid w:val="00406291"/>
    <w:rsid w:val="00410D27"/>
    <w:rsid w:val="00412AF7"/>
    <w:rsid w:val="004134D8"/>
    <w:rsid w:val="004152FE"/>
    <w:rsid w:val="0042033D"/>
    <w:rsid w:val="00425218"/>
    <w:rsid w:val="004264C3"/>
    <w:rsid w:val="00437016"/>
    <w:rsid w:val="00441AEA"/>
    <w:rsid w:val="004423B3"/>
    <w:rsid w:val="00450C1C"/>
    <w:rsid w:val="00452489"/>
    <w:rsid w:val="00457434"/>
    <w:rsid w:val="0046069A"/>
    <w:rsid w:val="00477660"/>
    <w:rsid w:val="00480D30"/>
    <w:rsid w:val="004831C7"/>
    <w:rsid w:val="00487C9F"/>
    <w:rsid w:val="004901CA"/>
    <w:rsid w:val="00492528"/>
    <w:rsid w:val="00492B6B"/>
    <w:rsid w:val="00494963"/>
    <w:rsid w:val="00495A08"/>
    <w:rsid w:val="004A1F9C"/>
    <w:rsid w:val="004A32FB"/>
    <w:rsid w:val="004A4D98"/>
    <w:rsid w:val="004A6B0A"/>
    <w:rsid w:val="004A73A7"/>
    <w:rsid w:val="004B67FA"/>
    <w:rsid w:val="004B77E6"/>
    <w:rsid w:val="004C0155"/>
    <w:rsid w:val="004C62E7"/>
    <w:rsid w:val="004D09FF"/>
    <w:rsid w:val="004D139F"/>
    <w:rsid w:val="004D2B3C"/>
    <w:rsid w:val="004D406E"/>
    <w:rsid w:val="004D59D0"/>
    <w:rsid w:val="004E0AF2"/>
    <w:rsid w:val="004E4E30"/>
    <w:rsid w:val="004F03BC"/>
    <w:rsid w:val="004F2823"/>
    <w:rsid w:val="004F4862"/>
    <w:rsid w:val="0051018E"/>
    <w:rsid w:val="00510B71"/>
    <w:rsid w:val="00515B40"/>
    <w:rsid w:val="00516013"/>
    <w:rsid w:val="005202B3"/>
    <w:rsid w:val="00527CF2"/>
    <w:rsid w:val="00530820"/>
    <w:rsid w:val="005310DB"/>
    <w:rsid w:val="00532148"/>
    <w:rsid w:val="00535062"/>
    <w:rsid w:val="00535C72"/>
    <w:rsid w:val="00537465"/>
    <w:rsid w:val="005374F3"/>
    <w:rsid w:val="005422CE"/>
    <w:rsid w:val="005464A7"/>
    <w:rsid w:val="00551C54"/>
    <w:rsid w:val="00552386"/>
    <w:rsid w:val="00552627"/>
    <w:rsid w:val="005567B7"/>
    <w:rsid w:val="00560BF1"/>
    <w:rsid w:val="0057015F"/>
    <w:rsid w:val="00573DB6"/>
    <w:rsid w:val="00574B40"/>
    <w:rsid w:val="00581D18"/>
    <w:rsid w:val="00584789"/>
    <w:rsid w:val="00584A7B"/>
    <w:rsid w:val="00594953"/>
    <w:rsid w:val="005A1889"/>
    <w:rsid w:val="005A1B1A"/>
    <w:rsid w:val="005A39D9"/>
    <w:rsid w:val="005A5254"/>
    <w:rsid w:val="005A5E27"/>
    <w:rsid w:val="005B72F9"/>
    <w:rsid w:val="005C4CA4"/>
    <w:rsid w:val="005D017C"/>
    <w:rsid w:val="005D7D96"/>
    <w:rsid w:val="005E41FA"/>
    <w:rsid w:val="005E730D"/>
    <w:rsid w:val="005F1818"/>
    <w:rsid w:val="005F1D17"/>
    <w:rsid w:val="005F2313"/>
    <w:rsid w:val="005F2EE2"/>
    <w:rsid w:val="005F36EF"/>
    <w:rsid w:val="005F5508"/>
    <w:rsid w:val="0060130E"/>
    <w:rsid w:val="00601A52"/>
    <w:rsid w:val="00601DD8"/>
    <w:rsid w:val="00611839"/>
    <w:rsid w:val="006158DC"/>
    <w:rsid w:val="006205B8"/>
    <w:rsid w:val="0063071C"/>
    <w:rsid w:val="00650FE7"/>
    <w:rsid w:val="006520BD"/>
    <w:rsid w:val="00660D27"/>
    <w:rsid w:val="00661C24"/>
    <w:rsid w:val="00663424"/>
    <w:rsid w:val="0066592E"/>
    <w:rsid w:val="00665A8D"/>
    <w:rsid w:val="006665BA"/>
    <w:rsid w:val="00681212"/>
    <w:rsid w:val="00682D2B"/>
    <w:rsid w:val="0068312E"/>
    <w:rsid w:val="00687446"/>
    <w:rsid w:val="0068794A"/>
    <w:rsid w:val="00690C7B"/>
    <w:rsid w:val="006A29A4"/>
    <w:rsid w:val="006A51E9"/>
    <w:rsid w:val="006A5A78"/>
    <w:rsid w:val="006A68CB"/>
    <w:rsid w:val="006B0732"/>
    <w:rsid w:val="006B32A8"/>
    <w:rsid w:val="006B4080"/>
    <w:rsid w:val="006C0A09"/>
    <w:rsid w:val="006C3F58"/>
    <w:rsid w:val="006D4269"/>
    <w:rsid w:val="006D60B1"/>
    <w:rsid w:val="006E21F9"/>
    <w:rsid w:val="006E66F5"/>
    <w:rsid w:val="006F7DFD"/>
    <w:rsid w:val="0070023A"/>
    <w:rsid w:val="007009B7"/>
    <w:rsid w:val="00701401"/>
    <w:rsid w:val="00701818"/>
    <w:rsid w:val="00702A8C"/>
    <w:rsid w:val="00704F42"/>
    <w:rsid w:val="00705BD3"/>
    <w:rsid w:val="007131B0"/>
    <w:rsid w:val="00713AAB"/>
    <w:rsid w:val="00723A3C"/>
    <w:rsid w:val="00725D28"/>
    <w:rsid w:val="007271C9"/>
    <w:rsid w:val="00731B2F"/>
    <w:rsid w:val="00732C0D"/>
    <w:rsid w:val="00733F37"/>
    <w:rsid w:val="00734300"/>
    <w:rsid w:val="007343C2"/>
    <w:rsid w:val="00734466"/>
    <w:rsid w:val="00737CAB"/>
    <w:rsid w:val="007403DD"/>
    <w:rsid w:val="00741E85"/>
    <w:rsid w:val="00744BB7"/>
    <w:rsid w:val="00753A7F"/>
    <w:rsid w:val="00754E8B"/>
    <w:rsid w:val="007550DD"/>
    <w:rsid w:val="00756C23"/>
    <w:rsid w:val="007605F1"/>
    <w:rsid w:val="00761275"/>
    <w:rsid w:val="007638D7"/>
    <w:rsid w:val="00770720"/>
    <w:rsid w:val="0078579F"/>
    <w:rsid w:val="007876E3"/>
    <w:rsid w:val="0079498F"/>
    <w:rsid w:val="0079650C"/>
    <w:rsid w:val="007A0385"/>
    <w:rsid w:val="007A5949"/>
    <w:rsid w:val="007A6C55"/>
    <w:rsid w:val="007B6C5B"/>
    <w:rsid w:val="007C280F"/>
    <w:rsid w:val="007C5A68"/>
    <w:rsid w:val="007C6EF0"/>
    <w:rsid w:val="007C7BB3"/>
    <w:rsid w:val="007E0765"/>
    <w:rsid w:val="007E2544"/>
    <w:rsid w:val="007E2868"/>
    <w:rsid w:val="007E5DD8"/>
    <w:rsid w:val="007F3F9B"/>
    <w:rsid w:val="007F5891"/>
    <w:rsid w:val="00803A83"/>
    <w:rsid w:val="00810EA8"/>
    <w:rsid w:val="008151E2"/>
    <w:rsid w:val="00816677"/>
    <w:rsid w:val="00816D38"/>
    <w:rsid w:val="00821A11"/>
    <w:rsid w:val="00822609"/>
    <w:rsid w:val="00831E35"/>
    <w:rsid w:val="0083319D"/>
    <w:rsid w:val="0083346B"/>
    <w:rsid w:val="00835E5A"/>
    <w:rsid w:val="00857523"/>
    <w:rsid w:val="00863C26"/>
    <w:rsid w:val="00866511"/>
    <w:rsid w:val="00867879"/>
    <w:rsid w:val="00871853"/>
    <w:rsid w:val="008760B2"/>
    <w:rsid w:val="0087687B"/>
    <w:rsid w:val="00877965"/>
    <w:rsid w:val="008850CA"/>
    <w:rsid w:val="00896695"/>
    <w:rsid w:val="008A183C"/>
    <w:rsid w:val="008A3F96"/>
    <w:rsid w:val="008A418C"/>
    <w:rsid w:val="008A60CC"/>
    <w:rsid w:val="008A6E85"/>
    <w:rsid w:val="008B6FE3"/>
    <w:rsid w:val="008C02CC"/>
    <w:rsid w:val="008C1C4E"/>
    <w:rsid w:val="008C4F0D"/>
    <w:rsid w:val="008D0B0A"/>
    <w:rsid w:val="008D72A4"/>
    <w:rsid w:val="008E1C14"/>
    <w:rsid w:val="008E21D9"/>
    <w:rsid w:val="008E33CF"/>
    <w:rsid w:val="008E44D9"/>
    <w:rsid w:val="008F717A"/>
    <w:rsid w:val="00902270"/>
    <w:rsid w:val="00906834"/>
    <w:rsid w:val="00910BA6"/>
    <w:rsid w:val="00911990"/>
    <w:rsid w:val="0091472C"/>
    <w:rsid w:val="00916437"/>
    <w:rsid w:val="009247EA"/>
    <w:rsid w:val="00926BD0"/>
    <w:rsid w:val="00931CAE"/>
    <w:rsid w:val="00933D60"/>
    <w:rsid w:val="00941980"/>
    <w:rsid w:val="00942957"/>
    <w:rsid w:val="00944857"/>
    <w:rsid w:val="009459BC"/>
    <w:rsid w:val="0094697C"/>
    <w:rsid w:val="00947675"/>
    <w:rsid w:val="009478D9"/>
    <w:rsid w:val="00950320"/>
    <w:rsid w:val="00951AE3"/>
    <w:rsid w:val="00955B5B"/>
    <w:rsid w:val="00955DD1"/>
    <w:rsid w:val="009564CE"/>
    <w:rsid w:val="0095654C"/>
    <w:rsid w:val="00957315"/>
    <w:rsid w:val="009600F7"/>
    <w:rsid w:val="00971C25"/>
    <w:rsid w:val="00980CAD"/>
    <w:rsid w:val="00983A98"/>
    <w:rsid w:val="00995E3E"/>
    <w:rsid w:val="00996078"/>
    <w:rsid w:val="00997D69"/>
    <w:rsid w:val="009A06F8"/>
    <w:rsid w:val="009A31D1"/>
    <w:rsid w:val="009A3CCB"/>
    <w:rsid w:val="009A4B8E"/>
    <w:rsid w:val="009A75FD"/>
    <w:rsid w:val="009B2064"/>
    <w:rsid w:val="009B3B0F"/>
    <w:rsid w:val="009C35A0"/>
    <w:rsid w:val="009C6C33"/>
    <w:rsid w:val="009D2D34"/>
    <w:rsid w:val="009D3499"/>
    <w:rsid w:val="009D6B43"/>
    <w:rsid w:val="009D6D63"/>
    <w:rsid w:val="009E15A7"/>
    <w:rsid w:val="009E285D"/>
    <w:rsid w:val="009E4903"/>
    <w:rsid w:val="009F2420"/>
    <w:rsid w:val="009F2CC2"/>
    <w:rsid w:val="009F4A01"/>
    <w:rsid w:val="00A0189D"/>
    <w:rsid w:val="00A0234C"/>
    <w:rsid w:val="00A03FE4"/>
    <w:rsid w:val="00A07CFB"/>
    <w:rsid w:val="00A114D7"/>
    <w:rsid w:val="00A177F0"/>
    <w:rsid w:val="00A20263"/>
    <w:rsid w:val="00A2227E"/>
    <w:rsid w:val="00A301E6"/>
    <w:rsid w:val="00A32403"/>
    <w:rsid w:val="00A3424A"/>
    <w:rsid w:val="00A37145"/>
    <w:rsid w:val="00A40FE4"/>
    <w:rsid w:val="00A433CE"/>
    <w:rsid w:val="00A60544"/>
    <w:rsid w:val="00A660EE"/>
    <w:rsid w:val="00A706DB"/>
    <w:rsid w:val="00A7572C"/>
    <w:rsid w:val="00A772C4"/>
    <w:rsid w:val="00A8040D"/>
    <w:rsid w:val="00A84798"/>
    <w:rsid w:val="00A916CC"/>
    <w:rsid w:val="00A93FF7"/>
    <w:rsid w:val="00A95FBC"/>
    <w:rsid w:val="00AA10EB"/>
    <w:rsid w:val="00AA2AFD"/>
    <w:rsid w:val="00AA54D4"/>
    <w:rsid w:val="00AA5FB4"/>
    <w:rsid w:val="00AA6A9C"/>
    <w:rsid w:val="00AB0678"/>
    <w:rsid w:val="00AB2487"/>
    <w:rsid w:val="00AB37AC"/>
    <w:rsid w:val="00AC0D02"/>
    <w:rsid w:val="00AC6BD2"/>
    <w:rsid w:val="00AD40AD"/>
    <w:rsid w:val="00AE4DB2"/>
    <w:rsid w:val="00AE7188"/>
    <w:rsid w:val="00AF25BA"/>
    <w:rsid w:val="00AF336C"/>
    <w:rsid w:val="00AF5010"/>
    <w:rsid w:val="00AF6A51"/>
    <w:rsid w:val="00B00161"/>
    <w:rsid w:val="00B001A9"/>
    <w:rsid w:val="00B03018"/>
    <w:rsid w:val="00B0541B"/>
    <w:rsid w:val="00B06D30"/>
    <w:rsid w:val="00B22DC8"/>
    <w:rsid w:val="00B26432"/>
    <w:rsid w:val="00B26928"/>
    <w:rsid w:val="00B27B5F"/>
    <w:rsid w:val="00B368B2"/>
    <w:rsid w:val="00B41532"/>
    <w:rsid w:val="00B44A57"/>
    <w:rsid w:val="00B466AA"/>
    <w:rsid w:val="00B50A33"/>
    <w:rsid w:val="00B53C06"/>
    <w:rsid w:val="00B55489"/>
    <w:rsid w:val="00B71818"/>
    <w:rsid w:val="00B74A74"/>
    <w:rsid w:val="00B7525C"/>
    <w:rsid w:val="00B757E5"/>
    <w:rsid w:val="00B76E0B"/>
    <w:rsid w:val="00B80D8B"/>
    <w:rsid w:val="00B824FC"/>
    <w:rsid w:val="00B90A28"/>
    <w:rsid w:val="00B954A3"/>
    <w:rsid w:val="00BA1852"/>
    <w:rsid w:val="00BA55B0"/>
    <w:rsid w:val="00BA755B"/>
    <w:rsid w:val="00BB10A2"/>
    <w:rsid w:val="00BB477D"/>
    <w:rsid w:val="00BB5568"/>
    <w:rsid w:val="00BB6638"/>
    <w:rsid w:val="00BB6A29"/>
    <w:rsid w:val="00BB6ED6"/>
    <w:rsid w:val="00BB7BE7"/>
    <w:rsid w:val="00BD42EE"/>
    <w:rsid w:val="00BD526F"/>
    <w:rsid w:val="00BD7C7C"/>
    <w:rsid w:val="00BE1894"/>
    <w:rsid w:val="00BE268D"/>
    <w:rsid w:val="00BE5D2E"/>
    <w:rsid w:val="00BE7198"/>
    <w:rsid w:val="00BF3EC1"/>
    <w:rsid w:val="00BF407A"/>
    <w:rsid w:val="00C00B5D"/>
    <w:rsid w:val="00C02385"/>
    <w:rsid w:val="00C056AF"/>
    <w:rsid w:val="00C0642F"/>
    <w:rsid w:val="00C152AF"/>
    <w:rsid w:val="00C166E0"/>
    <w:rsid w:val="00C17223"/>
    <w:rsid w:val="00C21337"/>
    <w:rsid w:val="00C22639"/>
    <w:rsid w:val="00C24020"/>
    <w:rsid w:val="00C243B7"/>
    <w:rsid w:val="00C25160"/>
    <w:rsid w:val="00C35D41"/>
    <w:rsid w:val="00C55D35"/>
    <w:rsid w:val="00C57B3C"/>
    <w:rsid w:val="00C61EDF"/>
    <w:rsid w:val="00C6363F"/>
    <w:rsid w:val="00C655F2"/>
    <w:rsid w:val="00C66315"/>
    <w:rsid w:val="00C6793A"/>
    <w:rsid w:val="00C705F5"/>
    <w:rsid w:val="00C70F7A"/>
    <w:rsid w:val="00C738B7"/>
    <w:rsid w:val="00C73A94"/>
    <w:rsid w:val="00C8206E"/>
    <w:rsid w:val="00C83D90"/>
    <w:rsid w:val="00C9020E"/>
    <w:rsid w:val="00C908BC"/>
    <w:rsid w:val="00C96DC1"/>
    <w:rsid w:val="00CA09CC"/>
    <w:rsid w:val="00CA0BF6"/>
    <w:rsid w:val="00CA27A6"/>
    <w:rsid w:val="00CA3ECE"/>
    <w:rsid w:val="00CA4466"/>
    <w:rsid w:val="00CA65ED"/>
    <w:rsid w:val="00CB29B9"/>
    <w:rsid w:val="00CB4F9F"/>
    <w:rsid w:val="00CB5C73"/>
    <w:rsid w:val="00CB6D03"/>
    <w:rsid w:val="00CB6EF7"/>
    <w:rsid w:val="00CC1899"/>
    <w:rsid w:val="00CC37E9"/>
    <w:rsid w:val="00CD6AD4"/>
    <w:rsid w:val="00CE126E"/>
    <w:rsid w:val="00CE181D"/>
    <w:rsid w:val="00CE759C"/>
    <w:rsid w:val="00CF0BF5"/>
    <w:rsid w:val="00CF165E"/>
    <w:rsid w:val="00CF1895"/>
    <w:rsid w:val="00CF3AE9"/>
    <w:rsid w:val="00CF69DA"/>
    <w:rsid w:val="00D0041F"/>
    <w:rsid w:val="00D03B36"/>
    <w:rsid w:val="00D05691"/>
    <w:rsid w:val="00D05ABD"/>
    <w:rsid w:val="00D0635E"/>
    <w:rsid w:val="00D06F3D"/>
    <w:rsid w:val="00D12065"/>
    <w:rsid w:val="00D17DF2"/>
    <w:rsid w:val="00D22F98"/>
    <w:rsid w:val="00D23152"/>
    <w:rsid w:val="00D256A8"/>
    <w:rsid w:val="00D264DE"/>
    <w:rsid w:val="00D3017E"/>
    <w:rsid w:val="00D369A9"/>
    <w:rsid w:val="00D40B85"/>
    <w:rsid w:val="00D4277B"/>
    <w:rsid w:val="00D520BA"/>
    <w:rsid w:val="00D52DCD"/>
    <w:rsid w:val="00D55A6D"/>
    <w:rsid w:val="00D55ACF"/>
    <w:rsid w:val="00D55D0A"/>
    <w:rsid w:val="00D56F81"/>
    <w:rsid w:val="00D6014A"/>
    <w:rsid w:val="00D60258"/>
    <w:rsid w:val="00D62BBA"/>
    <w:rsid w:val="00D63038"/>
    <w:rsid w:val="00D649FD"/>
    <w:rsid w:val="00D64A1F"/>
    <w:rsid w:val="00D7180F"/>
    <w:rsid w:val="00D72200"/>
    <w:rsid w:val="00D73FF0"/>
    <w:rsid w:val="00D7586B"/>
    <w:rsid w:val="00D76FD6"/>
    <w:rsid w:val="00D87CBC"/>
    <w:rsid w:val="00D9510C"/>
    <w:rsid w:val="00D9562B"/>
    <w:rsid w:val="00DA2C5F"/>
    <w:rsid w:val="00DA7325"/>
    <w:rsid w:val="00DB05D9"/>
    <w:rsid w:val="00DB1099"/>
    <w:rsid w:val="00DB17B8"/>
    <w:rsid w:val="00DB3037"/>
    <w:rsid w:val="00DB30D2"/>
    <w:rsid w:val="00DB579A"/>
    <w:rsid w:val="00DC216B"/>
    <w:rsid w:val="00DC52E0"/>
    <w:rsid w:val="00DD51B9"/>
    <w:rsid w:val="00DE22F2"/>
    <w:rsid w:val="00DF38B3"/>
    <w:rsid w:val="00DF3B37"/>
    <w:rsid w:val="00DF66CB"/>
    <w:rsid w:val="00E034DF"/>
    <w:rsid w:val="00E039CB"/>
    <w:rsid w:val="00E146C0"/>
    <w:rsid w:val="00E21EE4"/>
    <w:rsid w:val="00E227D0"/>
    <w:rsid w:val="00E264CA"/>
    <w:rsid w:val="00E26927"/>
    <w:rsid w:val="00E42AF0"/>
    <w:rsid w:val="00E43D5D"/>
    <w:rsid w:val="00E44EDB"/>
    <w:rsid w:val="00E457E8"/>
    <w:rsid w:val="00E459DA"/>
    <w:rsid w:val="00E61388"/>
    <w:rsid w:val="00E63F4B"/>
    <w:rsid w:val="00E64FE8"/>
    <w:rsid w:val="00E657EC"/>
    <w:rsid w:val="00E67B25"/>
    <w:rsid w:val="00E71839"/>
    <w:rsid w:val="00E74C17"/>
    <w:rsid w:val="00E814D9"/>
    <w:rsid w:val="00E85DF5"/>
    <w:rsid w:val="00E95E88"/>
    <w:rsid w:val="00E96600"/>
    <w:rsid w:val="00EA43F0"/>
    <w:rsid w:val="00EA51C6"/>
    <w:rsid w:val="00EA6ACA"/>
    <w:rsid w:val="00EA6C8C"/>
    <w:rsid w:val="00EB06EB"/>
    <w:rsid w:val="00EB4742"/>
    <w:rsid w:val="00EB5032"/>
    <w:rsid w:val="00EC20DF"/>
    <w:rsid w:val="00EC2374"/>
    <w:rsid w:val="00EC733F"/>
    <w:rsid w:val="00ED04EF"/>
    <w:rsid w:val="00ED08A3"/>
    <w:rsid w:val="00ED2D1B"/>
    <w:rsid w:val="00ED6E28"/>
    <w:rsid w:val="00ED744B"/>
    <w:rsid w:val="00ED7BF4"/>
    <w:rsid w:val="00EE0F79"/>
    <w:rsid w:val="00EE10A2"/>
    <w:rsid w:val="00EE2EEE"/>
    <w:rsid w:val="00EE3315"/>
    <w:rsid w:val="00EE6FA4"/>
    <w:rsid w:val="00EE7893"/>
    <w:rsid w:val="00EF0132"/>
    <w:rsid w:val="00EF334F"/>
    <w:rsid w:val="00EF4182"/>
    <w:rsid w:val="00F04E5E"/>
    <w:rsid w:val="00F05511"/>
    <w:rsid w:val="00F13096"/>
    <w:rsid w:val="00F1354E"/>
    <w:rsid w:val="00F204DD"/>
    <w:rsid w:val="00F2139F"/>
    <w:rsid w:val="00F224B2"/>
    <w:rsid w:val="00F226CA"/>
    <w:rsid w:val="00F24478"/>
    <w:rsid w:val="00F248D8"/>
    <w:rsid w:val="00F3066A"/>
    <w:rsid w:val="00F31814"/>
    <w:rsid w:val="00F31BF3"/>
    <w:rsid w:val="00F32283"/>
    <w:rsid w:val="00F347D5"/>
    <w:rsid w:val="00F34CC2"/>
    <w:rsid w:val="00F53332"/>
    <w:rsid w:val="00F57D13"/>
    <w:rsid w:val="00F70373"/>
    <w:rsid w:val="00F74F3A"/>
    <w:rsid w:val="00F80652"/>
    <w:rsid w:val="00F82410"/>
    <w:rsid w:val="00F87B9D"/>
    <w:rsid w:val="00F901AA"/>
    <w:rsid w:val="00F944BC"/>
    <w:rsid w:val="00F94541"/>
    <w:rsid w:val="00F97C11"/>
    <w:rsid w:val="00F97D21"/>
    <w:rsid w:val="00FA0156"/>
    <w:rsid w:val="00FA606D"/>
    <w:rsid w:val="00FB2BEC"/>
    <w:rsid w:val="00FB3FED"/>
    <w:rsid w:val="00FB6BB5"/>
    <w:rsid w:val="00FB75DF"/>
    <w:rsid w:val="00FC6019"/>
    <w:rsid w:val="00FD0ADB"/>
    <w:rsid w:val="00FD2A31"/>
    <w:rsid w:val="00FD4824"/>
    <w:rsid w:val="00FD50D1"/>
    <w:rsid w:val="00FD5DDC"/>
    <w:rsid w:val="00FE0C33"/>
    <w:rsid w:val="00FE79BF"/>
    <w:rsid w:val="00FF2A85"/>
    <w:rsid w:val="33BCAFDE"/>
    <w:rsid w:val="74F2C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F9301"/>
  <w15:docId w15:val="{4B515172-6EA4-4480-95DF-924FD43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C5B76"/>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5B76"/>
    <w:rPr>
      <w:rFonts w:ascii="Times New Roman" w:eastAsia="Times New Roman" w:hAnsi="Times New Roman" w:cs="Times New Roman"/>
      <w:b/>
      <w:bCs/>
      <w:color w:val="000000"/>
      <w:kern w:val="28"/>
      <w:sz w:val="24"/>
      <w:szCs w:val="24"/>
      <w:lang w:val="en-CA" w:eastAsia="en-CA"/>
    </w:rPr>
  </w:style>
  <w:style w:type="paragraph" w:styleId="NormalWeb">
    <w:name w:val="Normal (Web)"/>
    <w:basedOn w:val="Normal"/>
    <w:uiPriority w:val="99"/>
    <w:unhideWhenUsed/>
    <w:rsid w:val="00041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24F"/>
    <w:rPr>
      <w:b/>
      <w:bCs/>
    </w:rPr>
  </w:style>
  <w:style w:type="character" w:styleId="Emphasis">
    <w:name w:val="Emphasis"/>
    <w:basedOn w:val="DefaultParagraphFont"/>
    <w:uiPriority w:val="20"/>
    <w:qFormat/>
    <w:rsid w:val="0004124F"/>
    <w:rPr>
      <w:i/>
      <w:iCs/>
    </w:rPr>
  </w:style>
  <w:style w:type="paragraph" w:styleId="ListParagraph">
    <w:name w:val="List Paragraph"/>
    <w:basedOn w:val="Normal"/>
    <w:uiPriority w:val="34"/>
    <w:qFormat/>
    <w:rsid w:val="00A916CC"/>
    <w:pPr>
      <w:ind w:left="720"/>
      <w:contextualSpacing/>
    </w:pPr>
  </w:style>
  <w:style w:type="paragraph" w:styleId="Header">
    <w:name w:val="header"/>
    <w:basedOn w:val="Normal"/>
    <w:link w:val="HeaderChar"/>
    <w:uiPriority w:val="99"/>
    <w:unhideWhenUsed/>
    <w:rsid w:val="007E5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D8"/>
  </w:style>
  <w:style w:type="paragraph" w:styleId="Footer">
    <w:name w:val="footer"/>
    <w:basedOn w:val="Normal"/>
    <w:link w:val="FooterChar"/>
    <w:uiPriority w:val="99"/>
    <w:unhideWhenUsed/>
    <w:rsid w:val="007E5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D8"/>
  </w:style>
  <w:style w:type="character" w:styleId="CommentReference">
    <w:name w:val="annotation reference"/>
    <w:basedOn w:val="DefaultParagraphFont"/>
    <w:uiPriority w:val="99"/>
    <w:semiHidden/>
    <w:unhideWhenUsed/>
    <w:rsid w:val="00723A3C"/>
    <w:rPr>
      <w:sz w:val="16"/>
      <w:szCs w:val="16"/>
    </w:rPr>
  </w:style>
  <w:style w:type="paragraph" w:styleId="CommentText">
    <w:name w:val="annotation text"/>
    <w:basedOn w:val="Normal"/>
    <w:link w:val="CommentTextChar"/>
    <w:uiPriority w:val="99"/>
    <w:semiHidden/>
    <w:unhideWhenUsed/>
    <w:rsid w:val="00723A3C"/>
    <w:pPr>
      <w:spacing w:line="240" w:lineRule="auto"/>
    </w:pPr>
    <w:rPr>
      <w:sz w:val="20"/>
      <w:szCs w:val="20"/>
    </w:rPr>
  </w:style>
  <w:style w:type="character" w:customStyle="1" w:styleId="CommentTextChar">
    <w:name w:val="Comment Text Char"/>
    <w:basedOn w:val="DefaultParagraphFont"/>
    <w:link w:val="CommentText"/>
    <w:uiPriority w:val="99"/>
    <w:semiHidden/>
    <w:rsid w:val="00723A3C"/>
    <w:rPr>
      <w:sz w:val="20"/>
      <w:szCs w:val="20"/>
    </w:rPr>
  </w:style>
  <w:style w:type="paragraph" w:styleId="CommentSubject">
    <w:name w:val="annotation subject"/>
    <w:basedOn w:val="CommentText"/>
    <w:next w:val="CommentText"/>
    <w:link w:val="CommentSubjectChar"/>
    <w:uiPriority w:val="99"/>
    <w:semiHidden/>
    <w:unhideWhenUsed/>
    <w:rsid w:val="00723A3C"/>
    <w:rPr>
      <w:b/>
      <w:bCs/>
    </w:rPr>
  </w:style>
  <w:style w:type="character" w:customStyle="1" w:styleId="CommentSubjectChar">
    <w:name w:val="Comment Subject Char"/>
    <w:basedOn w:val="CommentTextChar"/>
    <w:link w:val="CommentSubject"/>
    <w:uiPriority w:val="99"/>
    <w:semiHidden/>
    <w:rsid w:val="00723A3C"/>
    <w:rPr>
      <w:b/>
      <w:bCs/>
      <w:sz w:val="20"/>
      <w:szCs w:val="20"/>
    </w:rPr>
  </w:style>
  <w:style w:type="paragraph" w:styleId="BalloonText">
    <w:name w:val="Balloon Text"/>
    <w:basedOn w:val="Normal"/>
    <w:link w:val="BalloonTextChar"/>
    <w:uiPriority w:val="99"/>
    <w:semiHidden/>
    <w:unhideWhenUsed/>
    <w:rsid w:val="00723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3C"/>
    <w:rPr>
      <w:rFonts w:ascii="Tahoma" w:hAnsi="Tahoma" w:cs="Tahoma"/>
      <w:sz w:val="16"/>
      <w:szCs w:val="16"/>
    </w:rPr>
  </w:style>
  <w:style w:type="paragraph" w:styleId="Revision">
    <w:name w:val="Revision"/>
    <w:hidden/>
    <w:uiPriority w:val="99"/>
    <w:semiHidden/>
    <w:rsid w:val="00B41532"/>
    <w:pPr>
      <w:spacing w:after="0" w:line="240" w:lineRule="auto"/>
    </w:pPr>
  </w:style>
  <w:style w:type="character" w:styleId="Hyperlink">
    <w:name w:val="Hyperlink"/>
    <w:basedOn w:val="DefaultParagraphFont"/>
    <w:uiPriority w:val="99"/>
    <w:unhideWhenUsed/>
    <w:rsid w:val="00810EA8"/>
    <w:rPr>
      <w:color w:val="0000FF"/>
      <w:u w:val="single"/>
    </w:rPr>
  </w:style>
  <w:style w:type="character" w:customStyle="1" w:styleId="UnresolvedMention1">
    <w:name w:val="Unresolved Mention1"/>
    <w:basedOn w:val="DefaultParagraphFont"/>
    <w:uiPriority w:val="99"/>
    <w:semiHidden/>
    <w:unhideWhenUsed/>
    <w:rsid w:val="00E264CA"/>
    <w:rPr>
      <w:color w:val="605E5C"/>
      <w:shd w:val="clear" w:color="auto" w:fill="E1DFDD"/>
    </w:rPr>
  </w:style>
  <w:style w:type="character" w:styleId="FollowedHyperlink">
    <w:name w:val="FollowedHyperlink"/>
    <w:basedOn w:val="DefaultParagraphFont"/>
    <w:uiPriority w:val="99"/>
    <w:semiHidden/>
    <w:unhideWhenUsed/>
    <w:rsid w:val="00BD7C7C"/>
    <w:rPr>
      <w:color w:val="954F72" w:themeColor="followedHyperlink"/>
      <w:u w:val="single"/>
    </w:rPr>
  </w:style>
  <w:style w:type="character" w:customStyle="1" w:styleId="m-6466073371798441688msocommentreference">
    <w:name w:val="m_-6466073371798441688msocommentreference"/>
    <w:basedOn w:val="DefaultParagraphFont"/>
    <w:rsid w:val="00240666"/>
  </w:style>
  <w:style w:type="table" w:styleId="TableGrid">
    <w:name w:val="Table Grid"/>
    <w:basedOn w:val="TableNormal"/>
    <w:uiPriority w:val="39"/>
    <w:rsid w:val="000B4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44BC"/>
  </w:style>
  <w:style w:type="character" w:customStyle="1" w:styleId="UnresolvedMention2">
    <w:name w:val="Unresolved Mention2"/>
    <w:basedOn w:val="DefaultParagraphFont"/>
    <w:uiPriority w:val="99"/>
    <w:semiHidden/>
    <w:unhideWhenUsed/>
    <w:rsid w:val="00737CAB"/>
    <w:rPr>
      <w:color w:val="605E5C"/>
      <w:shd w:val="clear" w:color="auto" w:fill="E1DFDD"/>
    </w:rPr>
  </w:style>
  <w:style w:type="table" w:customStyle="1" w:styleId="Tablaconcuadrcula1">
    <w:name w:val="Tabla con cuadrícula1"/>
    <w:basedOn w:val="TableNormal"/>
    <w:uiPriority w:val="39"/>
    <w:rsid w:val="000E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30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37">
      <w:bodyDiv w:val="1"/>
      <w:marLeft w:val="0"/>
      <w:marRight w:val="0"/>
      <w:marTop w:val="0"/>
      <w:marBottom w:val="0"/>
      <w:divBdr>
        <w:top w:val="none" w:sz="0" w:space="0" w:color="auto"/>
        <w:left w:val="none" w:sz="0" w:space="0" w:color="auto"/>
        <w:bottom w:val="none" w:sz="0" w:space="0" w:color="auto"/>
        <w:right w:val="none" w:sz="0" w:space="0" w:color="auto"/>
      </w:divBdr>
    </w:div>
    <w:div w:id="40250304">
      <w:bodyDiv w:val="1"/>
      <w:marLeft w:val="0"/>
      <w:marRight w:val="0"/>
      <w:marTop w:val="0"/>
      <w:marBottom w:val="0"/>
      <w:divBdr>
        <w:top w:val="none" w:sz="0" w:space="0" w:color="auto"/>
        <w:left w:val="none" w:sz="0" w:space="0" w:color="auto"/>
        <w:bottom w:val="none" w:sz="0" w:space="0" w:color="auto"/>
        <w:right w:val="none" w:sz="0" w:space="0" w:color="auto"/>
      </w:divBdr>
    </w:div>
    <w:div w:id="102845695">
      <w:bodyDiv w:val="1"/>
      <w:marLeft w:val="0"/>
      <w:marRight w:val="0"/>
      <w:marTop w:val="0"/>
      <w:marBottom w:val="0"/>
      <w:divBdr>
        <w:top w:val="none" w:sz="0" w:space="0" w:color="auto"/>
        <w:left w:val="none" w:sz="0" w:space="0" w:color="auto"/>
        <w:bottom w:val="none" w:sz="0" w:space="0" w:color="auto"/>
        <w:right w:val="none" w:sz="0" w:space="0" w:color="auto"/>
      </w:divBdr>
    </w:div>
    <w:div w:id="353042744">
      <w:bodyDiv w:val="1"/>
      <w:marLeft w:val="0"/>
      <w:marRight w:val="0"/>
      <w:marTop w:val="0"/>
      <w:marBottom w:val="0"/>
      <w:divBdr>
        <w:top w:val="none" w:sz="0" w:space="0" w:color="auto"/>
        <w:left w:val="none" w:sz="0" w:space="0" w:color="auto"/>
        <w:bottom w:val="none" w:sz="0" w:space="0" w:color="auto"/>
        <w:right w:val="none" w:sz="0" w:space="0" w:color="auto"/>
      </w:divBdr>
    </w:div>
    <w:div w:id="579871659">
      <w:bodyDiv w:val="1"/>
      <w:marLeft w:val="0"/>
      <w:marRight w:val="0"/>
      <w:marTop w:val="0"/>
      <w:marBottom w:val="0"/>
      <w:divBdr>
        <w:top w:val="none" w:sz="0" w:space="0" w:color="auto"/>
        <w:left w:val="none" w:sz="0" w:space="0" w:color="auto"/>
        <w:bottom w:val="none" w:sz="0" w:space="0" w:color="auto"/>
        <w:right w:val="none" w:sz="0" w:space="0" w:color="auto"/>
      </w:divBdr>
    </w:div>
    <w:div w:id="736904943">
      <w:bodyDiv w:val="1"/>
      <w:marLeft w:val="0"/>
      <w:marRight w:val="0"/>
      <w:marTop w:val="0"/>
      <w:marBottom w:val="0"/>
      <w:divBdr>
        <w:top w:val="none" w:sz="0" w:space="0" w:color="auto"/>
        <w:left w:val="none" w:sz="0" w:space="0" w:color="auto"/>
        <w:bottom w:val="none" w:sz="0" w:space="0" w:color="auto"/>
        <w:right w:val="none" w:sz="0" w:space="0" w:color="auto"/>
      </w:divBdr>
    </w:div>
    <w:div w:id="880092074">
      <w:bodyDiv w:val="1"/>
      <w:marLeft w:val="0"/>
      <w:marRight w:val="0"/>
      <w:marTop w:val="0"/>
      <w:marBottom w:val="0"/>
      <w:divBdr>
        <w:top w:val="none" w:sz="0" w:space="0" w:color="auto"/>
        <w:left w:val="none" w:sz="0" w:space="0" w:color="auto"/>
        <w:bottom w:val="none" w:sz="0" w:space="0" w:color="auto"/>
        <w:right w:val="none" w:sz="0" w:space="0" w:color="auto"/>
      </w:divBdr>
    </w:div>
    <w:div w:id="1001741522">
      <w:bodyDiv w:val="1"/>
      <w:marLeft w:val="0"/>
      <w:marRight w:val="0"/>
      <w:marTop w:val="0"/>
      <w:marBottom w:val="0"/>
      <w:divBdr>
        <w:top w:val="none" w:sz="0" w:space="0" w:color="auto"/>
        <w:left w:val="none" w:sz="0" w:space="0" w:color="auto"/>
        <w:bottom w:val="none" w:sz="0" w:space="0" w:color="auto"/>
        <w:right w:val="none" w:sz="0" w:space="0" w:color="auto"/>
      </w:divBdr>
    </w:div>
    <w:div w:id="1241988926">
      <w:bodyDiv w:val="1"/>
      <w:marLeft w:val="0"/>
      <w:marRight w:val="0"/>
      <w:marTop w:val="0"/>
      <w:marBottom w:val="0"/>
      <w:divBdr>
        <w:top w:val="none" w:sz="0" w:space="0" w:color="auto"/>
        <w:left w:val="none" w:sz="0" w:space="0" w:color="auto"/>
        <w:bottom w:val="none" w:sz="0" w:space="0" w:color="auto"/>
        <w:right w:val="none" w:sz="0" w:space="0" w:color="auto"/>
      </w:divBdr>
    </w:div>
    <w:div w:id="1663699247">
      <w:bodyDiv w:val="1"/>
      <w:marLeft w:val="0"/>
      <w:marRight w:val="0"/>
      <w:marTop w:val="0"/>
      <w:marBottom w:val="0"/>
      <w:divBdr>
        <w:top w:val="none" w:sz="0" w:space="0" w:color="auto"/>
        <w:left w:val="none" w:sz="0" w:space="0" w:color="auto"/>
        <w:bottom w:val="none" w:sz="0" w:space="0" w:color="auto"/>
        <w:right w:val="none" w:sz="0" w:space="0" w:color="auto"/>
      </w:divBdr>
    </w:div>
    <w:div w:id="2084524872">
      <w:bodyDiv w:val="1"/>
      <w:marLeft w:val="0"/>
      <w:marRight w:val="0"/>
      <w:marTop w:val="0"/>
      <w:marBottom w:val="0"/>
      <w:divBdr>
        <w:top w:val="none" w:sz="0" w:space="0" w:color="auto"/>
        <w:left w:val="none" w:sz="0" w:space="0" w:color="auto"/>
        <w:bottom w:val="none" w:sz="0" w:space="0" w:color="auto"/>
        <w:right w:val="none" w:sz="0" w:space="0" w:color="auto"/>
      </w:divBdr>
    </w:div>
    <w:div w:id="21336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math.hkbu.edu.hk/~tongt/papers/median2mean.html" TargetMode="External"/><Relationship Id="rId3" Type="http://schemas.openxmlformats.org/officeDocument/2006/relationships/hyperlink" Target="https://n.neurology.org/content/55/1/16.long" TargetMode="External"/><Relationship Id="rId7" Type="http://schemas.openxmlformats.org/officeDocument/2006/relationships/hyperlink" Target="https://pubmed.ncbi.nlm.nih.gov/27683581/" TargetMode="External"/><Relationship Id="rId2" Type="http://schemas.openxmlformats.org/officeDocument/2006/relationships/hyperlink" Target="https://www.evidencepartners.com/" TargetMode="External"/><Relationship Id="rId1" Type="http://schemas.openxmlformats.org/officeDocument/2006/relationships/hyperlink" Target="https://journals.plos.org/plosmedicine/article?id=10.1371/journal.pmed.1000100" TargetMode="External"/><Relationship Id="rId6" Type="http://schemas.openxmlformats.org/officeDocument/2006/relationships/hyperlink" Target="https://www.evidencepartners.com/wp-content/uploads/2017/09/Tool-to-Assess-Risk-of-Bias-in-Case-Control-Studies.pdf" TargetMode="External"/><Relationship Id="rId5" Type="http://schemas.openxmlformats.org/officeDocument/2006/relationships/hyperlink" Target="https://www.evidencepartners.com/wp-content/uploads/2017/09/Tool-to-Assess-Risk-of-Bias-in-Cohort-Studies.pdf" TargetMode="External"/><Relationship Id="rId4" Type="http://schemas.openxmlformats.org/officeDocument/2006/relationships/hyperlink" Target="https://n.neurology.org/content/55/1/16.lo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3C4C6CA1-ABEA-41B7-94C0-A87C9B97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2363</Words>
  <Characters>13472</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Mayo Clinic</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Linxp</dc:creator>
  <cp:lastModifiedBy>Andrea Paola Solis Pazmiño</cp:lastModifiedBy>
  <cp:revision>4</cp:revision>
  <dcterms:created xsi:type="dcterms:W3CDTF">2020-05-14T23:45:00Z</dcterms:created>
  <dcterms:modified xsi:type="dcterms:W3CDTF">2020-05-15T00:58:00Z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http://www.zotero.org/styles/thyroid</vt:lpwstr>
  </property>
  <property fmtid="{D5CDD505-2E9C-101B-9397-08002B2CF9AE}" pid="21" name="Mendeley Recent Style Name 9_1">
    <vt:lpwstr>Thyroid</vt:lpwstr>
  </property>
  <property fmtid="{D5CDD505-2E9C-101B-9397-08002B2CF9AE}" pid="22" name="Mendeley Document_1">
    <vt:lpwstr>True</vt:lpwstr>
  </property>
  <property fmtid="{D5CDD505-2E9C-101B-9397-08002B2CF9AE}" pid="23" name="Mendeley Unique User Id_1">
    <vt:lpwstr>6be44293-eb1a-3962-8172-909fdef93eec</vt:lpwstr>
  </property>
  <property fmtid="{D5CDD505-2E9C-101B-9397-08002B2CF9AE}" pid="24" name="Mendeley Citation Style_1">
    <vt:lpwstr>http://www.zotero.org/styles/thyroid</vt:lpwstr>
  </property>
</Properties>
</file>