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936000" cy="608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608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TH Sarabun New" w:hAnsi="TH Sarabun New" w:eastAsia="TH Sarabun New" w:cs="TH Sarabun New"/>
          <w:b/>
          <w:color w:val="000000"/>
          <w:sz w:val="50"/>
        </w:rPr>
        <w:t>รายงานวิเคราะห์พื้นที่สถานีชาร์จรถยนต์ไฟฟ้า</w:t>
      </w:r>
    </w:p>
    <w:p>
      <w:pPr>
        <w:keepNext w:val="0"/>
        <w:spacing w:after="120" w:line="254" w:lineRule="auto"/>
      </w:pPr>
      <w:r>
        <w:rPr>
          <w:rFonts w:ascii="TH Sarabun New" w:hAnsi="TH Sarabun New" w:eastAsia="TH Sarabun New" w:cs="TH Sarabun New"/>
          <w:b/>
          <w:color w:val="000000"/>
          <w:sz w:val="42"/>
        </w:rPr>
        <w:t>ปั๊มเชลล์ ท่าผา อำเภอเถิน จังหวัดลำปาง</w:t>
      </w:r>
    </w:p>
    <w:p>
      <w:pPr>
        <w:keepNext w:val="0"/>
        <w:spacing w:after="120" w:line="254" w:lineRule="auto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DC Charger 180 kW จำนวน 1 ตู้ 2 ช่องจอด</w:t>
        <w:br/>
        <w:t>เงินลงทุนอ้างอิง 2,300,500 บาท สำหรับเจ้าของพื้นที่ลงทุนเอง</w:t>
      </w:r>
    </w:p>
    <w:p>
      <w:pPr>
        <w:keepNext w:val="0"/>
        <w:spacing w:after="120" w:line="254" w:lineRule="auto"/>
      </w:pPr>
      <w:r>
        <w:rPr>
          <w:rFonts w:ascii="TH Sarabun New" w:hAnsi="TH Sarabun New" w:eastAsia="TH Sarabun New" w:cs="TH Sarabun New"/>
          <w:b w:val="0"/>
          <w:color w:val="000000"/>
          <w:sz w:val="30"/>
        </w:rPr>
        <w:t>ที่ตั้ง 197 หมู่ 5 ตำบลแม่ปะ อำเภอเถิน จังหวัดลำปาง 52160</w:t>
        <w:br/>
        <w:t>พิกัดวิเคราะห์ 17.650561, 99.249117</w:t>
      </w:r>
    </w:p>
    <w:p>
      <w:pPr>
        <w:pStyle w:val="Heading1"/>
        <w:pageBreakBefore w:val="0"/>
        <w:spacing w:before="200" w:after="100"/>
      </w:pPr>
      <w:r>
        <w:rPr>
          <w:rFonts w:ascii="TH Sarabun New" w:hAnsi="TH Sarabun New" w:eastAsia="TH Sarabun New" w:cs="TH Sarabun New"/>
          <w:b/>
          <w:color w:val="000000"/>
          <w:sz w:val="38"/>
        </w:rPr>
        <w:t>ข้อสรุปสำหรับเจ้าของพื้นที่</w:t>
      </w:r>
    </w:p>
    <w:p>
      <w:pPr>
        <w:keepNext w:val="0"/>
        <w:spacing w:after="120" w:line="254" w:lineRule="auto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ทำเลมีโอกาสพัฒนาบริการชาร์จระหว่างการเดินทางและการแวะพัก โดยใช้พื้นที่และบริการเดิมของปั๊มเป็นฐาน ตู้ DC 180 kW จำนวน 1 ตู้ 2 ช่องจอดเป็นรูปแบบเริ่มต้นที่ให้บริการรถได้พร้อมกันสองคัน และไม่ต้องลงทุนหลายตู้ตั้งแต่วันแรก</w:t>
      </w:r>
    </w:p>
    <w:p>
      <w:pPr>
        <w:keepNext w:val="0"/>
        <w:spacing w:after="120" w:line="254" w:lineRule="auto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แนวทางของโครงการคือเพิ่มบริการชาร์จให้เป็นส่วนหนึ่งของการแวะพัก ลูกค้าสามารถชาร์จรถพร้อมใช้บริการภายในปั๊ม เจ้าของพื้นที่มีรายได้จากค่าชาร์จเพิ่มเติม และมีโอกาสเพิ่มยอดใช้บริการร้านค้าที่อยู่ในสถานี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2098"/>
        <w:gridCol w:w="4025"/>
      </w:tblGrid>
      <w:tr>
        <w:trPr>
          <w:cantSplit/>
          <w:tblHeader/>
        </w:trPr>
        <w:tc>
          <w:tcPr>
            <w:tcW w:type="dxa" w:w="351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000000"/>
                <w:sz w:val="30"/>
              </w:rPr>
              <w:t>ข้อมูลพื้นที่</w:t>
            </w:r>
          </w:p>
        </w:tc>
        <w:tc>
          <w:tcPr>
            <w:tcW w:type="dxa" w:w="209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000000"/>
                <w:sz w:val="30"/>
              </w:rPr>
              <w:t>ค่าที่ใช้</w:t>
            </w:r>
          </w:p>
        </w:tc>
        <w:tc>
          <w:tcPr>
            <w:tcW w:type="dxa" w:w="402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000000"/>
                <w:sz w:val="30"/>
              </w:rPr>
              <w:t>ความหมายต่อโครงการ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30"/>
              </w:rPr>
              <w:t>รถผ่านแนวทางหลวง 1</w:t>
            </w:r>
          </w:p>
        </w:tc>
        <w:tc>
          <w:tcPr>
            <w:tcW w:type="dxa" w:w="209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30"/>
              </w:rPr>
              <w:t>13,337 คัน/วัน</w:t>
            </w:r>
          </w:p>
        </w:tc>
        <w:tc>
          <w:tcPr>
            <w:tcW w:type="dxa" w:w="402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30"/>
              </w:rPr>
              <w:t>AADT ปี 2568</w:t>
              <w:br/>
              <w:t>บริบทการเดินทางบนเส้นทางหลัก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30"/>
              </w:rPr>
              <w:t>BEV รถยนต์นั่งส่วนบุคคลลำปาง</w:t>
            </w:r>
          </w:p>
        </w:tc>
        <w:tc>
          <w:tcPr>
            <w:tcW w:type="dxa" w:w="209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30"/>
              </w:rPr>
              <w:t>1,725 คัน</w:t>
            </w:r>
          </w:p>
        </w:tc>
        <w:tc>
          <w:tcPr>
            <w:tcW w:type="dxa" w:w="402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30"/>
              </w:rPr>
              <w:t>DLT ณ 30 ก.ย. 2569</w:t>
              <w:br/>
              <w:t>ไม่รวมรถต่างจังหวัดที่ผ่านทาง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30"/>
              </w:rPr>
              <w:t>สถานีชาร์จที่มีพิกัดใกล้เคียง</w:t>
            </w:r>
          </w:p>
        </w:tc>
        <w:tc>
          <w:tcPr>
            <w:tcW w:type="dxa" w:w="209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30"/>
              </w:rPr>
              <w:t>ประมาณ 3.8–4.0 กม.</w:t>
            </w:r>
          </w:p>
        </w:tc>
        <w:tc>
          <w:tcPr>
            <w:tcW w:type="dxa" w:w="402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30"/>
              </w:rPr>
              <w:t>มีการแข่งขันบนแนวถนน</w:t>
              <w:br/>
              <w:t>ระยะในรายงานเป็นเส้นตรง</w:t>
            </w:r>
          </w:p>
        </w:tc>
      </w:tr>
    </w:tbl>
    <w:p>
      <w:pPr>
        <w:keepNext w:val="0"/>
        <w:spacing w:after="20" w:line="254" w:lineRule="auto"/>
      </w:pPr>
      <w:r>
        <w:rPr>
          <w:rFonts w:ascii="TH Sarabun New" w:hAnsi="TH Sarabun New" w:eastAsia="TH Sarabun New" w:cs="TH Sarabun New"/>
          <w:b w:val="0"/>
          <w:color w:val="000000"/>
          <w:sz w:val="10"/>
        </w:rPr>
      </w:r>
    </w:p>
    <w:p>
      <w:pPr>
        <w:pStyle w:val="Heading1"/>
        <w:pageBreakBefore w:val="0"/>
        <w:spacing w:before="200" w:after="100"/>
      </w:pPr>
      <w:r>
        <w:rPr>
          <w:rFonts w:ascii="TH Sarabun New" w:hAnsi="TH Sarabun New" w:eastAsia="TH Sarabun New" w:cs="TH Sarabun New"/>
          <w:b/>
          <w:color w:val="000000"/>
          <w:sz w:val="38"/>
        </w:rPr>
        <w:t>จุดแข็งของโครงการ</w:t>
      </w:r>
    </w:p>
    <w:p>
      <w:pPr>
        <w:keepNext w:val="0"/>
        <w:spacing w:after="120" w:line="254" w:lineRule="auto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ส่วนเติมน้ำมันเปิดตลอด 24 ชั่วโมง และมีร้านกาแฟเป็นบริการประกอบ โครงการควรเน้นป้ายที่เห็นได้จากถนน ทางเข้าใช้ง่าย ช่องชาร์จว่างจริง และสถานะตู้ที่ตรวจผ่านแอปได้ หากจะเปิดชาร์จตลอดวัน ต้องจัดบริการสนับสนุนช่วงกลางคืนให้พร้อมด้วย</w:t>
      </w:r>
    </w:p>
    <w:p>
      <w:pPr>
        <w:pStyle w:val="Heading1"/>
        <w:pageBreakBefore/>
        <w:spacing w:before="200" w:after="100"/>
      </w:pPr>
      <w:r>
        <w:rPr>
          <w:rFonts w:ascii="TH Sarabun New" w:hAnsi="TH Sarabun New" w:eastAsia="TH Sarabun New" w:cs="TH Sarabun New"/>
          <w:b/>
          <w:color w:val="000000"/>
          <w:sz w:val="38"/>
        </w:rPr>
        <w:t>บริบทพื้นที่และการแข่งขัน</w:t>
      </w:r>
    </w:p>
    <w:p>
      <w:r>
        <w:drawing>
          <wp:inline xmlns:a="http://schemas.openxmlformats.org/drawingml/2006/main" xmlns:pic="http://schemas.openxmlformats.org/drawingml/2006/picture">
            <wp:extent cx="6120000" cy="37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_context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 w:line="254" w:lineRule="auto"/>
      </w:pPr>
      <w:r>
        <w:rPr>
          <w:rFonts w:ascii="TH Sarabun New" w:hAnsi="TH Sarabun New" w:eastAsia="TH Sarabun New" w:cs="TH Sarabun New"/>
          <w:b w:val="0"/>
          <w:color w:val="000000"/>
          <w:sz w:val="24"/>
        </w:rPr>
        <w:t>S จุดวิเคราะห์   P1 โรงพยาบาลเถิน   P2 จุดขึ้นรถโดยสารเถิน</w:t>
        <w:br/>
        <w:t>C1–C3 กลุ่มสถานีชาร์จบริเวณเถิน   C4 Spark บางจาก เถิน–นภา</w:t>
      </w:r>
    </w:p>
    <w:p>
      <w:pPr>
        <w:keepNext w:val="0"/>
        <w:spacing w:after="140" w:line="254" w:lineRule="auto"/>
      </w:pPr>
      <w:r>
        <w:rPr>
          <w:rFonts w:ascii="TH Sarabun New" w:hAnsi="TH Sarabun New" w:eastAsia="TH Sarabun New" w:cs="TH Sarabun New"/>
          <w:b w:val="0"/>
          <w:color w:val="000000"/>
          <w:sz w:val="24"/>
        </w:rPr>
        <w:t>แผนที่แสดงตำแหน่งเพื่อดูบริบท ไม่ใช่เส้นทางขับจริงหรือขอบเขตลูกค้าที่แน่นอน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082"/>
        <w:gridCol w:w="1247"/>
        <w:gridCol w:w="4309"/>
      </w:tblGrid>
      <w:tr>
        <w:trPr>
          <w:cantSplit/>
          <w:tblHeader/>
        </w:trPr>
        <w:tc>
          <w:tcPr>
            <w:tcW w:type="dxa" w:w="408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000000"/>
                <w:sz w:val="28"/>
              </w:rPr>
              <w:t>สถานีใกล้เคียง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000000"/>
                <w:sz w:val="28"/>
              </w:rPr>
              <w:t>ระยะอ้างอิง</w:t>
            </w:r>
          </w:p>
        </w:tc>
        <w:tc>
          <w:tcPr>
            <w:tcW w:type="dxa" w:w="4309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000000"/>
                <w:sz w:val="28"/>
              </w:rPr>
              <w:t>กำลังชาร์จ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</w:rPr>
              <w:t>C1 EV Station เลขที่ 163 พหลโยธิน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</w:rPr>
              <w:t>3.8 กม.</w:t>
            </w:r>
          </w:p>
        </w:tc>
        <w:tc>
          <w:tcPr>
            <w:tcW w:type="dxa" w:w="4309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</w:rPr>
              <w:t>DC CCS 120 kW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</w:rPr>
              <w:t>C2 PluZ PTT ธ.1994 ขาเข้า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</w:rPr>
              <w:t>3.9 กม.</w:t>
            </w:r>
          </w:p>
        </w:tc>
        <w:tc>
          <w:tcPr>
            <w:tcW w:type="dxa" w:w="4309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</w:rPr>
              <w:t>DC 120 kW จำนวน 2 หัว CCS2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</w:rPr>
              <w:t>C3 EleX PT เถิน 3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</w:rPr>
              <w:t>4.0 กม.</w:t>
            </w:r>
          </w:p>
        </w:tc>
        <w:tc>
          <w:tcPr>
            <w:tcW w:type="dxa" w:w="4309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</w:rPr>
              <w:t>DC 150 kW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</w:rPr>
              <w:t>C4 Spark บางจาก เถิน–นภา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</w:rPr>
              <w:t>9.0 กม.</w:t>
            </w:r>
          </w:p>
        </w:tc>
        <w:tc>
          <w:tcPr>
            <w:tcW w:type="dxa" w:w="4309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</w:rPr>
              <w:t>DC 240 kW จำนวน 2 ตู้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</w:rPr>
              <w:t>EleX PT เถิน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</w:rPr>
              <w:t>พื้นที่เถิน</w:t>
            </w:r>
          </w:p>
        </w:tc>
        <w:tc>
          <w:tcPr>
            <w:tcW w:type="dxa" w:w="4309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</w:rPr>
              <w:t>DC 124 kW</w:t>
            </w:r>
          </w:p>
        </w:tc>
      </w:tr>
    </w:tbl>
    <w:p>
      <w:pPr>
        <w:keepNext w:val="0"/>
        <w:spacing w:after="20" w:line="254" w:lineRule="auto"/>
      </w:pPr>
      <w:r>
        <w:rPr>
          <w:rFonts w:ascii="TH Sarabun New" w:hAnsi="TH Sarabun New" w:eastAsia="TH Sarabun New" w:cs="TH Sarabun New"/>
          <w:b w:val="0"/>
          <w:color w:val="000000"/>
          <w:sz w:val="10"/>
        </w:rPr>
      </w:r>
    </w:p>
    <w:p>
      <w:pPr>
        <w:keepNext w:val="0"/>
        <w:spacing w:after="120" w:line="254" w:lineRule="auto"/>
      </w:pPr>
      <w:r>
        <w:rPr>
          <w:rFonts w:ascii="TH Sarabun New" w:hAnsi="TH Sarabun New" w:eastAsia="TH Sarabun New" w:cs="TH Sarabun New"/>
          <w:b w:val="0"/>
          <w:color w:val="000000"/>
          <w:sz w:val="24"/>
        </w:rPr>
        <w:t>ข้อมูลกำลังของ EleX PT เถิน EleX PT เถิน 3 และ Spark อัปเดตจากผู้ประสานงานโครงการ วันที่ 27 ตุลาคม 2569 สาขา PT เถินแสดงข้อมูลในตารางโดยไม่ระบุหมุด ส่วนระยะของ C1–C4 เป็นระยะเส้นตรงจากจุดวิเคราะห์</w:t>
      </w:r>
    </w:p>
    <w:p>
      <w:pPr>
        <w:keepNext w:val="0"/>
        <w:spacing w:after="120" w:line="254" w:lineRule="auto"/>
      </w:pPr>
      <w:r>
        <w:rPr>
          <w:rFonts w:ascii="TH Sarabun New" w:hAnsi="TH Sarabun New" w:eastAsia="TH Sarabun New" w:cs="TH Sarabun New"/>
          <w:b w:val="0"/>
          <w:color w:val="000000"/>
          <w:sz w:val="30"/>
        </w:rPr>
        <w:t>สถานีของโครงการวางตำแหน่งบริการที่การแวะเข้าถึงง่าย ช่องจอดเฉพาะ และการใช้เวลาร่วมกับร้านกาแฟภายในปั๊ม ควบคู่กำลังชาร์จ 180 kW เพื่อเป็นทางเลือกให้ผู้เดินทางบนเส้นทางนี้</w:t>
      </w:r>
    </w:p>
    <w:p>
      <w:pPr>
        <w:pStyle w:val="Heading1"/>
        <w:pageBreakBefore/>
        <w:spacing w:before="200" w:after="100"/>
      </w:pPr>
      <w:r>
        <w:rPr>
          <w:rFonts w:ascii="TH Sarabun New" w:hAnsi="TH Sarabun New" w:eastAsia="TH Sarabun New" w:cs="TH Sarabun New"/>
          <w:b/>
          <w:color w:val="000000"/>
          <w:sz w:val="38"/>
        </w:rPr>
        <w:t>รูปแบบสถานีที่ใช้ในการวิเคราะห์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6746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000000"/>
                <w:sz w:val="30"/>
              </w:rPr>
              <w:t>รายการ</w:t>
            </w:r>
          </w:p>
        </w:tc>
        <w:tc>
          <w:tcPr>
            <w:tcW w:type="dxa" w:w="674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000000"/>
                <w:sz w:val="30"/>
              </w:rPr>
              <w:t>รูปแบบเสนอพิจารณา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30"/>
              </w:rPr>
              <w:t>ตู้ชาร์จ DC</w:t>
            </w:r>
          </w:p>
        </w:tc>
        <w:tc>
          <w:tcPr>
            <w:tcW w:type="dxa" w:w="674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30"/>
              </w:rPr>
              <w:t>กำลังรวม 180 kW จำนวน 1 ตู้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30"/>
              </w:rPr>
              <w:t>หัวชาร์จและช่องจอด</w:t>
            </w:r>
          </w:p>
        </w:tc>
        <w:tc>
          <w:tcPr>
            <w:tcW w:type="dxa" w:w="674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30"/>
              </w:rPr>
              <w:t>CCS2 จำนวน 2 หัว พร้อมช่องจอดเฉพาะ 2 ช่อง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30"/>
              </w:rPr>
              <w:t>การแบ่งกำลัง</w:t>
            </w:r>
          </w:p>
        </w:tc>
        <w:tc>
          <w:tcPr>
            <w:tcW w:type="dxa" w:w="674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30"/>
              </w:rPr>
              <w:t>กำลังรวมทั้งตู้ไม่เกิน 180 kW</w:t>
              <w:br/>
              <w:t>เมื่อชาร์จสองคันให้แบ่งกำลังตามระบบที่เลือก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30"/>
              </w:rPr>
              <w:t>เวลาเปิดบริการ</w:t>
            </w:r>
          </w:p>
        </w:tc>
        <w:tc>
          <w:tcPr>
            <w:tcW w:type="dxa" w:w="674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30"/>
              </w:rPr>
              <w:t>วางแผนบริการ 24 ชั่วโมง พร้อมระบบช่วยเหลือลูกค้า</w:t>
            </w:r>
          </w:p>
        </w:tc>
      </w:tr>
    </w:tbl>
    <w:p>
      <w:pPr>
        <w:keepNext w:val="0"/>
        <w:spacing w:after="20" w:line="254" w:lineRule="auto"/>
      </w:pPr>
      <w:r>
        <w:rPr>
          <w:rFonts w:ascii="TH Sarabun New" w:hAnsi="TH Sarabun New" w:eastAsia="TH Sarabun New" w:cs="TH Sarabun New"/>
          <w:b w:val="0"/>
          <w:color w:val="000000"/>
          <w:sz w:val="10"/>
        </w:rPr>
      </w:r>
    </w:p>
    <w:p>
      <w:pPr>
        <w:keepNext w:val="0"/>
        <w:spacing w:after="120" w:line="254" w:lineRule="auto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ขนาดที่เสนอเหมาะกับการเริ่มให้บริการเป็นจุดพักริมทาง และรองรับการใช้งานพร้อมกันสองคัน ควรเลือกการบริหารกำลังแบบปรับตามความต้องการของรถ พร้อมเตรียมแนวสายไฟและพื้นที่สำหรับขยายในอนาคต โดยยังไม่จำเป็นต้องติดตั้งตู้ที่สองก่อนทราบยอดใช้บริการจริง</w:t>
      </w:r>
    </w:p>
    <w:p>
      <w:pPr>
        <w:keepNext w:val="0"/>
        <w:spacing w:after="120" w:line="254" w:lineRule="auto"/>
      </w:pPr>
      <w:r>
        <w:rPr>
          <w:rFonts w:ascii="TH Sarabun New" w:hAnsi="TH Sarabun New" w:eastAsia="TH Sarabun New" w:cs="TH Sarabun New"/>
          <w:b w:val="0"/>
          <w:color w:val="000000"/>
          <w:sz w:val="30"/>
        </w:rPr>
        <w:t>ระบบแบ่งกำลังให้เหมาะกับรถที่เข้าใช้บริการและระดับแบตเตอรี่ สำหรับการวางแผนช่องจอด หากรับไฟ 35 kWh ที่กำลังเฉลี่ย 60 kW จะใช้เวลาชาร์จประมาณ 35 นาที และเผื่อเข้าออกช่องจอดอีก 5 นาที รวมประมาณ 40 นาที โดยเวลาชาร์จจริงเปลี่ยนตามรถและการใช้งานพร้อมกัน</w:t>
      </w:r>
    </w:p>
    <w:p>
      <w:pPr>
        <w:pStyle w:val="Heading1"/>
        <w:pageBreakBefore w:val="0"/>
        <w:spacing w:before="200" w:after="100"/>
      </w:pPr>
      <w:r>
        <w:rPr>
          <w:rFonts w:ascii="TH Sarabun New" w:hAnsi="TH Sarabun New" w:eastAsia="TH Sarabun New" w:cs="TH Sarabun New"/>
          <w:b/>
          <w:color w:val="000000"/>
          <w:sz w:val="38"/>
        </w:rPr>
        <w:t>ประมาณการใช้บริการ</w:t>
      </w:r>
    </w:p>
    <w:p>
      <w:pPr>
        <w:keepNext w:val="0"/>
        <w:spacing w:after="120" w:line="254" w:lineRule="auto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รายงานใช้ประมาณการเริ่มต้นเฉลี่ย 2 คันต่อวัน หลังพิจารณาสภาพพื้นที่และการแข่งขัน โดยกำหนดพลังงานเฉลี่ย 35 kWh ต่อการเข้าชาร์จ คิดเป็นการจำหน่ายไฟประมาณ 70 kWh ต่อวัน ตัวเลขนี้เป็นสมมติฐานวางแผนจากผลวิเคราะห์พื้นที่ ไม่ใช่ยอดใช้บริการที่สำรวจจากสถานีนี้</w:t>
      </w:r>
    </w:p>
    <w:p>
      <w:pPr>
        <w:keepNext w:val="0"/>
        <w:spacing w:after="120" w:line="254" w:lineRule="auto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กลุ่มลูกค้าเป้าหมายคือผู้ใช้รถ EV ที่เดินทางบนทางหลวง 1 และต้องการแวะพักระหว่างทาง รวมถึงผู้ใช้รถในพื้นที่เถิน ข้อมูลรถจดทะเบียนใช้ประกอบภาพตลาดท้องถิ่น ส่วนรถผ่านทางหลวงใช้ประกอบโอกาสเข้าถึงผู้เดินทาง โดยแยกจากจำนวนผู้เข้าชาร์จในประมาณการ</w:t>
      </w:r>
    </w:p>
    <w:p>
      <w:pPr>
        <w:pStyle w:val="Heading1"/>
        <w:pageBreakBefore w:val="0"/>
        <w:spacing w:before="200" w:after="100"/>
      </w:pPr>
      <w:r>
        <w:rPr>
          <w:rFonts w:ascii="TH Sarabun New" w:hAnsi="TH Sarabun New" w:eastAsia="TH Sarabun New" w:cs="TH Sarabun New"/>
          <w:b/>
          <w:color w:val="000000"/>
          <w:sz w:val="38"/>
        </w:rPr>
        <w:t>แนวทางดำเนินโครงการ</w:t>
      </w:r>
    </w:p>
    <w:p>
      <w:pPr>
        <w:keepNext w:val="0"/>
        <w:spacing w:after="120" w:line="254" w:lineRule="auto"/>
      </w:pPr>
      <w:r>
        <w:rPr>
          <w:rFonts w:ascii="TH Sarabun New" w:hAnsi="TH Sarabun New" w:eastAsia="TH Sarabun New" w:cs="TH Sarabun New"/>
          <w:b w:val="0"/>
          <w:color w:val="000000"/>
          <w:sz w:val="32"/>
        </w:rPr>
        <w:t>จัดช่องจอดเฉพาะสำหรับชาร์จ 2 ช่อง ติดป้ายก่อนถึงทางเข้า และออกแบบจุดจอดให้เห็นได้ชัดจากภายในปั๊ม เตรียมระบบไฟฟ้า ระบบชำระเงิน และช่องทางช่วยเหลือลูกค้าให้สอดคล้องกับเวลาบริการ พร้อมแสดงสถานีในแอปและ Google Maps</w:t>
      </w:r>
    </w:p>
    <w:p>
      <w:pPr>
        <w:keepNext w:val="0"/>
        <w:spacing w:after="120" w:line="254" w:lineRule="auto"/>
      </w:pPr>
      <w:r>
        <w:rPr>
          <w:rFonts w:ascii="TH Sarabun New" w:hAnsi="TH Sarabun New" w:eastAsia="TH Sarabun New" w:cs="TH Sarabun New"/>
          <w:b w:val="0"/>
          <w:color w:val="000000"/>
          <w:sz w:val="30"/>
        </w:rPr>
        <w:t>หลังเปิดบริการ ให้ติดตามจำนวนรถ ปริมาณไฟที่จำหน่าย และช่วงเวลาการใช้งาน เพื่อปรับการประชาสัมพันธ์ร่วมกับร้านค้าและวางแผนขยายสถานีตามยอดใช้บริการ</w:t>
      </w:r>
    </w:p>
    <w:p>
      <w:pPr>
        <w:pStyle w:val="Heading1"/>
        <w:pageBreakBefore/>
        <w:spacing w:before="200" w:after="100"/>
      </w:pPr>
      <w:r>
        <w:rPr>
          <w:rFonts w:ascii="TH Sarabun New" w:hAnsi="TH Sarabun New" w:eastAsia="TH Sarabun New" w:cs="TH Sarabun New"/>
          <w:b/>
          <w:color w:val="000000"/>
          <w:sz w:val="38"/>
        </w:rPr>
        <w:t>ประมาณการรายได้และเงินสด 10 ปี</w:t>
      </w:r>
    </w:p>
    <w:p>
      <w:pPr>
        <w:keepNext w:val="0"/>
        <w:spacing w:after="120" w:line="254" w:lineRule="auto"/>
      </w:pPr>
      <w:r>
        <w:rPr>
          <w:rFonts w:ascii="TH Sarabun New" w:hAnsi="TH Sarabun New" w:eastAsia="TH Sarabun New" w:cs="TH Sarabun New"/>
          <w:b w:val="0"/>
          <w:color w:val="000000"/>
          <w:sz w:val="30"/>
        </w:rPr>
        <w:t>จากการใช้บริการเฉลี่ย 2 คันต่อวัน รายได้ประมาณ 16,820 บาทต่อเดือน หรือ 201,845 บาทต่อปี หลังหักค่าไฟ ค่าระบบ CPO และค่าใช้จ่ายประจำ มีเงินสดจากการดำเนินงานประมาณ 47,497 บาทต่อปี</w:t>
      </w:r>
    </w:p>
    <w:p>
      <w:pPr>
        <w:keepNext w:val="0"/>
        <w:spacing w:after="120" w:line="254" w:lineRule="auto"/>
      </w:pPr>
      <w:r>
        <w:rPr>
          <w:rFonts w:ascii="TH Sarabun New" w:hAnsi="TH Sarabun New" w:eastAsia="TH Sarabun New" w:cs="TH Sarabun New"/>
          <w:b w:val="0"/>
          <w:color w:val="000000"/>
          <w:sz w:val="28"/>
        </w:rPr>
        <w:t>ใช้เงินลงทุนเริ่มต้น 2,300,500 บาท คิดปีละ 365 วัน โดยคงจำนวนรถ ราคาขาย และต้นทุนเดิมตลอด 10 ปี ตารางแสดงปีสำคัญนับจากวันเปิดบริการ และเงินสดสะสมคอลัมน์สุดท้ายหักเงินลงทุนเริ่มต้นแล้ว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1191"/>
        <w:gridCol w:w="2041"/>
        <w:gridCol w:w="2438"/>
        <w:gridCol w:w="2778"/>
      </w:tblGrid>
      <w:tr>
        <w:trPr>
          <w:cantSplit/>
          <w:tblHeader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000000"/>
                <w:sz w:val="26"/>
              </w:rPr>
              <w:t>ปีดำเนินงาน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000000"/>
                <w:sz w:val="26"/>
              </w:rPr>
              <w:t>รถชาร์จ</w:t>
              <w:br/>
              <w:t>คัน/วัน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000000"/>
                <w:sz w:val="26"/>
              </w:rPr>
              <w:t>รายได้</w:t>
              <w:br/>
              <w:t>บาท/ปี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000000"/>
                <w:sz w:val="26"/>
              </w:rPr>
              <w:t>เงินสดดำเนินงาน</w:t>
              <w:br/>
              <w:t>บาท/ปี</w:t>
            </w:r>
          </w:p>
        </w:tc>
        <w:tc>
          <w:tcPr>
            <w:tcW w:type="dxa" w:w="277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000000"/>
                <w:sz w:val="26"/>
              </w:rPr>
              <w:t>เงินสดสะสม</w:t>
              <w:br/>
              <w:t>หลังลงทุน บาท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1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2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201,845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47,497</w:t>
            </w:r>
          </w:p>
        </w:tc>
        <w:tc>
          <w:tcPr>
            <w:tcW w:type="dxa" w:w="277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-2,253,003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3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2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201,845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47,497</w:t>
            </w:r>
          </w:p>
        </w:tc>
        <w:tc>
          <w:tcPr>
            <w:tcW w:type="dxa" w:w="277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-2,158,008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5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2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201,845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47,497</w:t>
            </w:r>
          </w:p>
        </w:tc>
        <w:tc>
          <w:tcPr>
            <w:tcW w:type="dxa" w:w="277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-2,063,013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10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2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201,845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47,497</w:t>
            </w:r>
          </w:p>
        </w:tc>
        <w:tc>
          <w:tcPr>
            <w:tcW w:type="dxa" w:w="277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-1,825,526</w:t>
            </w:r>
          </w:p>
        </w:tc>
      </w:tr>
    </w:tbl>
    <w:p>
      <w:pPr>
        <w:keepNext w:val="0"/>
        <w:spacing w:after="20" w:line="254" w:lineRule="auto"/>
      </w:pPr>
      <w:r>
        <w:rPr>
          <w:rFonts w:ascii="TH Sarabun New" w:hAnsi="TH Sarabun New" w:eastAsia="TH Sarabun New" w:cs="TH Sarabun New"/>
          <w:b w:val="0"/>
          <w:color w:val="000000"/>
          <w:sz w:val="10"/>
        </w:rPr>
      </w:r>
    </w:p>
    <w:p>
      <w:pPr>
        <w:keepNext w:val="0"/>
        <w:spacing w:after="120" w:line="254" w:lineRule="auto"/>
      </w:pPr>
      <w:r>
        <w:rPr>
          <w:rFonts w:ascii="TH Sarabun New" w:hAnsi="TH Sarabun New" w:eastAsia="TH Sarabun New" w:cs="TH Sarabun New"/>
          <w:b w:val="0"/>
          <w:color w:val="000000"/>
          <w:sz w:val="28"/>
        </w:rPr>
        <w:t>รายได้รวม 10 ปีประมาณ 2,018,450 บาท และเงินสดดำเนินงานสะสม 474,974 บาท ภายใต้ประมาณการนี้ เงินลงทุนยังไม่ถูกชดเชยครบภายใน 10 ปี</w:t>
      </w:r>
    </w:p>
    <w:p>
      <w:pPr>
        <w:keepNext w:val="0"/>
        <w:spacing w:after="120" w:line="254" w:lineRule="auto"/>
      </w:pPr>
      <w:r>
        <w:rPr>
          <w:rFonts w:ascii="TH Sarabun New" w:hAnsi="TH Sarabun New" w:eastAsia="TH Sarabun New" w:cs="TH Sarabun New"/>
          <w:b w:val="0"/>
          <w:color w:val="000000"/>
          <w:sz w:val="26"/>
        </w:rPr>
        <w:t>สมมติฐานเพื่อเปรียบเทียบ ใช้ 35 kWh ต่อคัน ราคาขาย 7.90 บาทต่อ kWh ต้นทุนไฟฟ้ารวมผลสูญเสียเฉลี่ย 4.00 บาทต่อหน่วยที่ขาย ค่าระบบ CPO 8% ของรายได้ และค่าดำเนินงานกับบำรุงรักษา 36,000 บาทต่อปี คิด 365 วันต่อปี ใช้ค่าที่ยังไม่ปัดเศษในการคำนวณและแสดงจำนวนเงินเป็นบาท</w:t>
      </w:r>
    </w:p>
    <w:p>
      <w:pPr>
        <w:keepNext w:val="0"/>
        <w:spacing w:after="120" w:line="254" w:lineRule="auto"/>
      </w:pPr>
      <w:r>
        <w:rPr>
          <w:rFonts w:ascii="TH Sarabun New" w:hAnsi="TH Sarabun New" w:eastAsia="TH Sarabun New" w:cs="TH Sarabun New"/>
          <w:b w:val="0"/>
          <w:color w:val="000000"/>
          <w:sz w:val="26"/>
        </w:rPr>
        <w:t>เงินสดดำเนินงานเป็นรายรับหลังหักค่าไฟ CPO และค่าใช้จ่ายประจำ แต่ก่อนเงินลงทุน ภาษี ดอกเบี้ย และค่าเปลี่ยนอุปกรณ์ครั้งใหญ่ ไม่ใช่กำไรสุทธิ ไม่ใส่ค่าเช่าหรือ GP เจ้าของที่ดิน โดยสมมติว่าไม่มีภาระดังกล่าว คันต่อวันหมายถึงการเข้าใช้บริการชาร์จ ไม่ใช่จำนวนทะเบียนรถไม่ซ้ำ</w:t>
      </w:r>
    </w:p>
    <w:p>
      <w:pPr>
        <w:pStyle w:val="Heading1"/>
        <w:pageBreakBefore w:val="0"/>
        <w:spacing w:before="200" w:after="100"/>
      </w:pPr>
      <w:r>
        <w:rPr>
          <w:rFonts w:ascii="TH Sarabun New" w:hAnsi="TH Sarabun New" w:eastAsia="TH Sarabun New" w:cs="TH Sarabun New"/>
          <w:b/>
          <w:color w:val="000000"/>
          <w:sz w:val="38"/>
        </w:rPr>
        <w:t>แหล่งข้อมูลสำคัญ</w:t>
      </w:r>
    </w:p>
    <w:p>
      <w:pPr>
        <w:keepNext w:val="0"/>
        <w:spacing w:after="60" w:line="254" w:lineRule="auto"/>
      </w:pPr>
      <w:r>
        <w:rPr>
          <w:rFonts w:ascii="TH Sarabun New" w:hAnsi="TH Sarabun New" w:eastAsia="TH Sarabun New" w:cs="TH Sarabun New"/>
          <w:b w:val="0"/>
          <w:color w:val="000000"/>
          <w:sz w:val="24"/>
        </w:rPr>
        <w:t xml:space="preserve">1. Shell locator ยืนยันสาขาและเวลาบริการเติมน้ำมัน  </w:t>
      </w:r>
      <w:hyperlink r:id="rId13">
        <w:r>
          <w:rPr>
            <w:rFonts w:ascii="TH Sarabun New" w:hAnsi="TH Sarabun New"/>
            <w:sz w:val="24"/>
            <w:color w:val="000000"/>
          </w:rPr>
          <w:t>เปิดแหล่งข้อมูล</w:t>
        </w:r>
      </w:hyperlink>
    </w:p>
    <w:p>
      <w:pPr>
        <w:keepNext w:val="0"/>
        <w:spacing w:after="60" w:line="254" w:lineRule="auto"/>
      </w:pPr>
      <w:r>
        <w:rPr>
          <w:rFonts w:ascii="TH Sarabun New" w:hAnsi="TH Sarabun New" w:eastAsia="TH Sarabun New" w:cs="TH Sarabun New"/>
          <w:b w:val="0"/>
          <w:color w:val="000000"/>
          <w:sz w:val="24"/>
        </w:rPr>
        <w:t xml:space="preserve">2. กรมทางหลวง AADT ปี 2568 ตอน 1102 กม 617+097  </w:t>
      </w:r>
      <w:hyperlink r:id="rId14">
        <w:r>
          <w:rPr>
            <w:rFonts w:ascii="TH Sarabun New" w:hAnsi="TH Sarabun New"/>
            <w:sz w:val="24"/>
            <w:color w:val="000000"/>
          </w:rPr>
          <w:t>เปิดแหล่งข้อมูล</w:t>
        </w:r>
      </w:hyperlink>
    </w:p>
    <w:p>
      <w:pPr>
        <w:keepNext w:val="0"/>
        <w:spacing w:after="60" w:line="254" w:lineRule="auto"/>
      </w:pPr>
      <w:r>
        <w:rPr>
          <w:rFonts w:ascii="TH Sarabun New" w:hAnsi="TH Sarabun New" w:eastAsia="TH Sarabun New" w:cs="TH Sarabun New"/>
          <w:b w:val="0"/>
          <w:color w:val="000000"/>
          <w:sz w:val="24"/>
        </w:rPr>
        <w:t xml:space="preserve">3. DLT ยอดสะสม 30 ก.ย. 2569 รย.1 ลำปาง  </w:t>
      </w:r>
      <w:hyperlink r:id="rId15">
        <w:r>
          <w:rPr>
            <w:rFonts w:ascii="TH Sarabun New" w:hAnsi="TH Sarabun New"/>
            <w:sz w:val="24"/>
            <w:color w:val="000000"/>
          </w:rPr>
          <w:t>เปิดแหล่งข้อมูล</w:t>
        </w:r>
      </w:hyperlink>
    </w:p>
    <w:p>
      <w:pPr>
        <w:keepNext w:val="0"/>
        <w:spacing w:after="60" w:line="254" w:lineRule="auto"/>
      </w:pPr>
      <w:r>
        <w:rPr>
          <w:rFonts w:ascii="TH Sarabun New" w:hAnsi="TH Sarabun New" w:eastAsia="TH Sarabun New" w:cs="TH Sarabun New"/>
          <w:b w:val="0"/>
          <w:color w:val="000000"/>
          <w:sz w:val="24"/>
        </w:rPr>
        <w:t xml:space="preserve">4. DOPA ปี 2568 เถินรวมเทศบาล 55,218 คน  </w:t>
      </w:r>
      <w:hyperlink r:id="rId16">
        <w:r>
          <w:rPr>
            <w:rFonts w:ascii="TH Sarabun New" w:hAnsi="TH Sarabun New"/>
            <w:sz w:val="24"/>
            <w:color w:val="000000"/>
          </w:rPr>
          <w:t>เปิดแหล่งข้อมูล</w:t>
        </w:r>
      </w:hyperlink>
    </w:p>
    <w:p>
      <w:pPr>
        <w:keepNext w:val="0"/>
        <w:spacing w:after="60" w:line="254" w:lineRule="auto"/>
      </w:pPr>
      <w:r>
        <w:rPr>
          <w:rFonts w:ascii="TH Sarabun New" w:hAnsi="TH Sarabun New" w:eastAsia="TH Sarabun New" w:cs="TH Sarabun New"/>
          <w:b w:val="0"/>
          <w:color w:val="000000"/>
          <w:sz w:val="24"/>
        </w:rPr>
        <w:t xml:space="preserve">5. EGAT รายชื่อสถานี EleX สาขาเถิน  </w:t>
      </w:r>
      <w:hyperlink r:id="rId17">
        <w:r>
          <w:rPr>
            <w:rFonts w:ascii="TH Sarabun New" w:hAnsi="TH Sarabun New"/>
            <w:sz w:val="24"/>
            <w:color w:val="000000"/>
          </w:rPr>
          <w:t>เปิดแหล่งข้อมูล</w:t>
        </w:r>
      </w:hyperlink>
    </w:p>
    <w:p>
      <w:pPr>
        <w:keepNext w:val="0"/>
        <w:spacing w:after="60" w:line="254" w:lineRule="auto"/>
      </w:pPr>
      <w:r>
        <w:rPr>
          <w:rFonts w:ascii="TH Sarabun New" w:hAnsi="TH Sarabun New" w:eastAsia="TH Sarabun New" w:cs="TH Sarabun New"/>
          <w:b w:val="0"/>
          <w:color w:val="000000"/>
          <w:sz w:val="24"/>
        </w:rPr>
        <w:t xml:space="preserve">6. EVNav รายการ PluZ ลำปาง อัปเดต 25 ก.ย. 2569  </w:t>
      </w:r>
      <w:hyperlink r:id="rId18">
        <w:r>
          <w:rPr>
            <w:rFonts w:ascii="TH Sarabun New" w:hAnsi="TH Sarabun New"/>
            <w:sz w:val="24"/>
            <w:color w:val="000000"/>
          </w:rPr>
          <w:t>เปิดแหล่งข้อมูล</w:t>
        </w:r>
      </w:hyperlink>
    </w:p>
    <w:p>
      <w:pPr>
        <w:keepNext w:val="0"/>
        <w:spacing w:after="120" w:line="254" w:lineRule="auto"/>
      </w:pPr>
      <w:r>
        <w:rPr>
          <w:rFonts w:ascii="TH Sarabun New" w:hAnsi="TH Sarabun New" w:eastAsia="TH Sarabun New" w:cs="TH Sarabun New"/>
          <w:b w:val="0"/>
          <w:color w:val="000000"/>
          <w:sz w:val="24"/>
        </w:rPr>
        <w:t>ข้อมูลกำลังตู้คู่แข่งปรับตามข้อมูลผู้ประสานงานโครงการ ณ 27 ตุลาคม 2569 ประมาณการรายได้ครอบคลุมค่าชาร์จเท่านั้น แยกจากรายได้ส่วนเพิ่มของร้านค้าและบริการภายในปั๊ม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134" w:bottom="935" w:left="1134" w:header="34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</w:pPr>
    <w:r>
      <w:rPr>
        <w:rFonts w:ascii="TH Sarabun New" w:hAnsi="TH Sarabun New" w:eastAsia="TH Sarabun New" w:cs="TH Sarabun New"/>
        <w:b w:val="0"/>
        <w:color w:val="000000"/>
        <w:sz w:val="22"/>
      </w:rPr>
      <w:t>Shell ท่าผา เถิน ลำปาง   •   27 ตุลาคม 2569</w:t>
    </w:r>
    <w:r>
      <w:tab/>
    </w:r>
    <w:r>
      <w:rPr>
        <w:rFonts w:ascii="TH Sarabun New" w:hAnsi="TH Sarabun New" w:eastAsia="TH Sarabun New" w:cs="TH Sarabun New"/>
        <w:b w:val="0"/>
        <w:color w:val="000000"/>
        <w:sz w:val="22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eastAsia="TH Sarabun New" w:cs="TH Sarabun New"/>
        <w:b w:val="0"/>
        <w:color w:val="000000"/>
        <w:sz w:val="22"/>
      </w:rPr>
      <w:t>TCE PROJECT   รายงานวิเคราะห์พื้นที่สถานีชาร์จรถยนต์ไฟฟ้า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20"/>
    </w:pPr>
    <w:rPr>
      <w:rFonts w:ascii="TH Sarabun New" w:hAnsi="TH Sarabun New" w:eastAsia="TH Sarabun New" w:cs="TH Sarabun New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4" w:lineRule="auto"/>
      <w:outlineLvl w:val="0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4" w:lineRule="auto"/>
      <w:outlineLvl w:val="1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4" w:lineRule="auto"/>
      <w:contextualSpacing/>
    </w:pPr>
    <w:rPr>
      <w:rFonts w:asciiTheme="majorHAnsi" w:eastAsiaTheme="majorEastAsia" w:hAnsiTheme="majorHAnsi" w:cstheme="majorBidi" w:ascii="TH Sarabun New" w:hAnsi="TH Sarabun New" w:eastAsia="TH Sarabun New" w:cs="TH Sarabun New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54" w:lineRule="auto" w:after="120"/>
    </w:pPr>
    <w:rPr>
      <w:rFonts w:asciiTheme="majorHAnsi" w:eastAsiaTheme="majorEastAsia" w:hAnsiTheme="majorHAnsi" w:cstheme="majorBidi" w:ascii="TH Sarabun New" w:hAnsi="TH Sarabun New" w:eastAsia="TH Sarabun New" w:cs="TH Sarabun New"/>
      <w:i/>
      <w:iCs/>
      <w:color w:val="000000"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find.shell.com/th/fuel/12849483-do-subcharean-oil-thoen-lpg" TargetMode="External"/><Relationship Id="rId14" Type="http://schemas.openxmlformats.org/officeDocument/2006/relationships/hyperlink" Target="https://datagov.mot.go.th/dataset/traf62" TargetMode="External"/><Relationship Id="rId15" Type="http://schemas.openxmlformats.org/officeDocument/2006/relationships/hyperlink" Target="https://web.dlt.go.th/statistics/load_file_select_new_car.php?t=3&amp;data_file=1302" TargetMode="External"/><Relationship Id="rId16" Type="http://schemas.openxmlformats.org/officeDocument/2006/relationships/hyperlink" Target="https://stat.bora.dopa.go.th/new_stat/webPage/statByYear.php" TargetMode="External"/><Relationship Id="rId17" Type="http://schemas.openxmlformats.org/officeDocument/2006/relationships/hyperlink" Target="https://egatev.egat.co.th/our-services/elex-by-egat/" TargetMode="External"/><Relationship Id="rId18" Type="http://schemas.openxmlformats.org/officeDocument/2006/relationships/hyperlink" Target="https://evnavth.com/province/lampa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รายงานวิเคราะห์พื้นที่สถานีชาร์จรถยนต์ไฟฟ้า Shell ท่าผา</dc:title>
  <dc:subject>Area Analysis for owner investment in one 180 kW DC charger</dc:subject>
  <dc:creator>TCE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