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4" o:title="Recycled paper" type="tile"/>
    </v:background>
  </w:background>
  <w:body>
    <w:p w:rsidR="00F61C7C" w:rsidRDefault="001873FC" w:rsidP="00240315">
      <w:pPr>
        <w:spacing w:after="0"/>
        <w:jc w:val="both"/>
      </w:pPr>
      <w:r>
        <w:rPr>
          <w:noProof/>
        </w:rPr>
        <w:drawing>
          <wp:inline distT="0" distB="0" distL="0" distR="0">
            <wp:extent cx="68580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28900"/>
                    </a:xfrm>
                    <a:prstGeom prst="rect">
                      <a:avLst/>
                    </a:prstGeom>
                    <a:noFill/>
                    <a:ln>
                      <a:noFill/>
                    </a:ln>
                  </pic:spPr>
                </pic:pic>
              </a:graphicData>
            </a:graphic>
          </wp:inline>
        </w:drawing>
      </w:r>
    </w:p>
    <w:p w:rsidR="00B120F6" w:rsidRPr="00D557FE" w:rsidRDefault="00B120F6" w:rsidP="00240315">
      <w:pPr>
        <w:spacing w:after="0"/>
        <w:jc w:val="both"/>
        <w:rPr>
          <w:sz w:val="10"/>
          <w:szCs w:val="10"/>
        </w:rPr>
      </w:pP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270"/>
        <w:gridCol w:w="1242"/>
        <w:gridCol w:w="8820"/>
      </w:tblGrid>
      <w:tr w:rsidR="00D557FE" w:rsidTr="006D135C">
        <w:tc>
          <w:tcPr>
            <w:tcW w:w="288" w:type="dxa"/>
            <w:shd w:val="clear" w:color="auto" w:fill="A6A6A6" w:themeFill="background1" w:themeFillShade="A6"/>
          </w:tcPr>
          <w:p w:rsidR="00D557FE" w:rsidRPr="00EF4474" w:rsidRDefault="00D557FE" w:rsidP="00BA4144">
            <w:pPr>
              <w:rPr>
                <w:sz w:val="20"/>
                <w:szCs w:val="20"/>
              </w:rPr>
            </w:pPr>
          </w:p>
        </w:tc>
        <w:tc>
          <w:tcPr>
            <w:tcW w:w="270" w:type="dxa"/>
            <w:tcBorders>
              <w:right w:val="single" w:sz="4" w:space="0" w:color="auto"/>
            </w:tcBorders>
          </w:tcPr>
          <w:p w:rsidR="00D557FE" w:rsidRPr="00EF4474" w:rsidRDefault="00D557FE" w:rsidP="00BA4144">
            <w:pPr>
              <w:rPr>
                <w:sz w:val="20"/>
                <w:szCs w:val="20"/>
              </w:rPr>
            </w:pPr>
          </w:p>
        </w:tc>
        <w:tc>
          <w:tcPr>
            <w:tcW w:w="1242" w:type="dxa"/>
            <w:tcBorders>
              <w:top w:val="single" w:sz="4" w:space="0" w:color="auto"/>
              <w:left w:val="single" w:sz="4" w:space="0" w:color="auto"/>
              <w:right w:val="single" w:sz="4" w:space="0" w:color="auto"/>
            </w:tcBorders>
            <w:shd w:val="clear" w:color="auto" w:fill="FFFF00"/>
          </w:tcPr>
          <w:p w:rsidR="00D557FE" w:rsidRPr="00EF4474" w:rsidRDefault="00D557FE" w:rsidP="00BA4144">
            <w:pPr>
              <w:rPr>
                <w:b/>
                <w:sz w:val="20"/>
                <w:szCs w:val="20"/>
              </w:rPr>
            </w:pPr>
            <w:r w:rsidRPr="00EF4474">
              <w:rPr>
                <w:b/>
                <w:sz w:val="20"/>
                <w:szCs w:val="20"/>
              </w:rPr>
              <w:t>Certificate</w:t>
            </w:r>
          </w:p>
        </w:tc>
        <w:tc>
          <w:tcPr>
            <w:tcW w:w="8820" w:type="dxa"/>
          </w:tcPr>
          <w:p w:rsidR="00D557FE" w:rsidRPr="006D135C" w:rsidRDefault="00D557FE" w:rsidP="00473F0F">
            <w:pPr>
              <w:rPr>
                <w:color w:val="0000CC"/>
                <w:sz w:val="19"/>
                <w:szCs w:val="19"/>
              </w:rPr>
            </w:pPr>
            <w:r w:rsidRPr="006D135C">
              <w:rPr>
                <w:color w:val="0000CC"/>
                <w:sz w:val="19"/>
                <w:szCs w:val="19"/>
              </w:rPr>
              <w:t xml:space="preserve">PNB Pure Native Bank Ltd. offers together with the Issuer, Normal Unit Bank plc., a Certificate with exposure to the well-established </w:t>
            </w:r>
            <w:r w:rsidR="00ED76A4" w:rsidRPr="006D135C">
              <w:rPr>
                <w:color w:val="0000CC"/>
                <w:sz w:val="19"/>
                <w:szCs w:val="19"/>
              </w:rPr>
              <w:t>First Federal Yin</w:t>
            </w:r>
            <w:r w:rsidRPr="006D135C">
              <w:rPr>
                <w:color w:val="0000CC"/>
                <w:sz w:val="19"/>
                <w:szCs w:val="19"/>
              </w:rPr>
              <w:t xml:space="preserve"> Ltd. Fund.  </w:t>
            </w:r>
            <w:r w:rsidR="00ED76A4" w:rsidRPr="006D135C">
              <w:rPr>
                <w:color w:val="0000CC"/>
                <w:sz w:val="19"/>
                <w:szCs w:val="19"/>
              </w:rPr>
              <w:t>First Federal Yin</w:t>
            </w:r>
            <w:r w:rsidRPr="006D135C">
              <w:rPr>
                <w:color w:val="0000CC"/>
                <w:sz w:val="19"/>
                <w:szCs w:val="19"/>
              </w:rPr>
              <w:t xml:space="preserve"> Ltd. has a track record of over 15 years with an annual return of 4-6% averaged above the 1-month USD-10-year Treasury Notes, and a maximum drawdown of -0.64% on a monthly basis.  The goal of the Certificate is a significant yield improvement despite a slightly extended volatility.</w:t>
            </w:r>
          </w:p>
        </w:tc>
      </w:tr>
      <w:tr w:rsidR="00D557FE" w:rsidTr="006D135C">
        <w:tc>
          <w:tcPr>
            <w:tcW w:w="288" w:type="dxa"/>
            <w:shd w:val="clear" w:color="auto" w:fill="A6A6A6" w:themeFill="background1" w:themeFillShade="A6"/>
          </w:tcPr>
          <w:p w:rsidR="00D557FE" w:rsidRPr="00EF4474" w:rsidRDefault="00D557FE" w:rsidP="00BA4144">
            <w:pPr>
              <w:rPr>
                <w:sz w:val="20"/>
                <w:szCs w:val="20"/>
              </w:rPr>
            </w:pPr>
          </w:p>
        </w:tc>
        <w:tc>
          <w:tcPr>
            <w:tcW w:w="270" w:type="dxa"/>
            <w:tcBorders>
              <w:right w:val="single" w:sz="4" w:space="0" w:color="auto"/>
            </w:tcBorders>
          </w:tcPr>
          <w:p w:rsidR="00D557FE" w:rsidRPr="00EF4474" w:rsidRDefault="00D557FE" w:rsidP="00BA4144">
            <w:pPr>
              <w:rPr>
                <w:sz w:val="20"/>
                <w:szCs w:val="20"/>
              </w:rPr>
            </w:pPr>
          </w:p>
        </w:tc>
        <w:tc>
          <w:tcPr>
            <w:tcW w:w="1242" w:type="dxa"/>
            <w:tcBorders>
              <w:left w:val="single" w:sz="4" w:space="0" w:color="auto"/>
              <w:right w:val="single" w:sz="4" w:space="0" w:color="auto"/>
            </w:tcBorders>
            <w:shd w:val="clear" w:color="auto" w:fill="FFFF00"/>
          </w:tcPr>
          <w:p w:rsidR="00D557FE" w:rsidRPr="00A805CF" w:rsidRDefault="00D557FE" w:rsidP="00BA4144">
            <w:pPr>
              <w:rPr>
                <w:b/>
                <w:sz w:val="10"/>
                <w:szCs w:val="10"/>
              </w:rPr>
            </w:pPr>
          </w:p>
        </w:tc>
        <w:tc>
          <w:tcPr>
            <w:tcW w:w="8820" w:type="dxa"/>
          </w:tcPr>
          <w:p w:rsidR="00D557FE" w:rsidRPr="006D135C" w:rsidRDefault="00D557FE" w:rsidP="00BA4144">
            <w:pPr>
              <w:rPr>
                <w:color w:val="0000CC"/>
                <w:sz w:val="19"/>
                <w:szCs w:val="19"/>
              </w:rPr>
            </w:pPr>
          </w:p>
        </w:tc>
      </w:tr>
      <w:tr w:rsidR="00D557FE" w:rsidTr="006D135C">
        <w:tc>
          <w:tcPr>
            <w:tcW w:w="288" w:type="dxa"/>
            <w:shd w:val="clear" w:color="auto" w:fill="A6A6A6" w:themeFill="background1" w:themeFillShade="A6"/>
          </w:tcPr>
          <w:p w:rsidR="00D557FE" w:rsidRPr="00EF4474" w:rsidRDefault="00D557FE" w:rsidP="00BA4144">
            <w:pPr>
              <w:rPr>
                <w:sz w:val="20"/>
                <w:szCs w:val="20"/>
              </w:rPr>
            </w:pPr>
          </w:p>
        </w:tc>
        <w:tc>
          <w:tcPr>
            <w:tcW w:w="270" w:type="dxa"/>
            <w:tcBorders>
              <w:right w:val="single" w:sz="4" w:space="0" w:color="auto"/>
            </w:tcBorders>
          </w:tcPr>
          <w:p w:rsidR="00D557FE" w:rsidRPr="00EF4474" w:rsidRDefault="00D557FE" w:rsidP="00BA4144">
            <w:pPr>
              <w:rPr>
                <w:sz w:val="20"/>
                <w:szCs w:val="20"/>
              </w:rPr>
            </w:pPr>
          </w:p>
        </w:tc>
        <w:tc>
          <w:tcPr>
            <w:tcW w:w="1242" w:type="dxa"/>
            <w:tcBorders>
              <w:left w:val="single" w:sz="4" w:space="0" w:color="auto"/>
              <w:right w:val="single" w:sz="4" w:space="0" w:color="auto"/>
            </w:tcBorders>
            <w:shd w:val="clear" w:color="auto" w:fill="FFFF00"/>
          </w:tcPr>
          <w:p w:rsidR="00D557FE" w:rsidRPr="00EF4474" w:rsidRDefault="00D557FE" w:rsidP="00BA4144">
            <w:pPr>
              <w:rPr>
                <w:b/>
                <w:sz w:val="20"/>
                <w:szCs w:val="20"/>
              </w:rPr>
            </w:pPr>
            <w:r w:rsidRPr="00EF4474">
              <w:rPr>
                <w:b/>
                <w:sz w:val="20"/>
                <w:szCs w:val="20"/>
              </w:rPr>
              <w:t>Strategy</w:t>
            </w:r>
          </w:p>
        </w:tc>
        <w:tc>
          <w:tcPr>
            <w:tcW w:w="8820" w:type="dxa"/>
          </w:tcPr>
          <w:p w:rsidR="00D557FE" w:rsidRPr="006D135C" w:rsidRDefault="00D557FE" w:rsidP="004273D9">
            <w:pPr>
              <w:rPr>
                <w:color w:val="0000CC"/>
                <w:sz w:val="19"/>
                <w:szCs w:val="19"/>
              </w:rPr>
            </w:pPr>
            <w:r w:rsidRPr="006D135C">
              <w:rPr>
                <w:color w:val="0000CC"/>
                <w:sz w:val="19"/>
                <w:szCs w:val="19"/>
              </w:rPr>
              <w:t xml:space="preserve">Primarily a “T-E” split-risk strategy:  at any given time, </w:t>
            </w:r>
            <w:r w:rsidR="00ED76A4" w:rsidRPr="006D135C">
              <w:rPr>
                <w:color w:val="0000CC"/>
                <w:sz w:val="19"/>
                <w:szCs w:val="19"/>
              </w:rPr>
              <w:t>First Federal Yin</w:t>
            </w:r>
            <w:r w:rsidRPr="006D135C">
              <w:rPr>
                <w:color w:val="0000CC"/>
                <w:sz w:val="19"/>
                <w:szCs w:val="19"/>
              </w:rPr>
              <w:t xml:space="preserve"> invests in two equities (chosen by the Investment Manager from a basket of 13 large-cap securities from the S&amp;P500).  The two-security strategy increases the standstill rate of return while allowing upward movement of the stock portfolio while limiting the portfolio’s downside.  A bullish or bearish bias can be achieved by adjusting the weights of the securities.  However, the value of the portfolio is always approximately equal to the underlying value of the S&amp;P500.  At the end of each month, the Investment Manager adjusts the portfolio to maximize future returns.</w:t>
            </w:r>
          </w:p>
        </w:tc>
      </w:tr>
      <w:tr w:rsidR="00D557FE" w:rsidTr="006D135C">
        <w:tc>
          <w:tcPr>
            <w:tcW w:w="288" w:type="dxa"/>
            <w:shd w:val="clear" w:color="auto" w:fill="A6A6A6" w:themeFill="background1" w:themeFillShade="A6"/>
          </w:tcPr>
          <w:p w:rsidR="00D557FE" w:rsidRPr="00EF4474" w:rsidRDefault="00D557FE" w:rsidP="00BA4144">
            <w:pPr>
              <w:rPr>
                <w:sz w:val="20"/>
                <w:szCs w:val="20"/>
              </w:rPr>
            </w:pPr>
          </w:p>
        </w:tc>
        <w:tc>
          <w:tcPr>
            <w:tcW w:w="270" w:type="dxa"/>
            <w:tcBorders>
              <w:right w:val="single" w:sz="4" w:space="0" w:color="auto"/>
            </w:tcBorders>
          </w:tcPr>
          <w:p w:rsidR="00D557FE" w:rsidRPr="00EF4474" w:rsidRDefault="00D557FE" w:rsidP="00BA4144">
            <w:pPr>
              <w:rPr>
                <w:sz w:val="20"/>
                <w:szCs w:val="20"/>
              </w:rPr>
            </w:pPr>
          </w:p>
        </w:tc>
        <w:tc>
          <w:tcPr>
            <w:tcW w:w="1242" w:type="dxa"/>
            <w:tcBorders>
              <w:left w:val="single" w:sz="4" w:space="0" w:color="auto"/>
              <w:right w:val="single" w:sz="4" w:space="0" w:color="auto"/>
            </w:tcBorders>
            <w:shd w:val="clear" w:color="auto" w:fill="FFFF00"/>
          </w:tcPr>
          <w:p w:rsidR="00D557FE" w:rsidRPr="00A805CF" w:rsidRDefault="00D557FE" w:rsidP="00BA4144">
            <w:pPr>
              <w:rPr>
                <w:b/>
                <w:sz w:val="10"/>
                <w:szCs w:val="10"/>
              </w:rPr>
            </w:pPr>
          </w:p>
        </w:tc>
        <w:tc>
          <w:tcPr>
            <w:tcW w:w="8820" w:type="dxa"/>
          </w:tcPr>
          <w:p w:rsidR="00D557FE" w:rsidRPr="006D135C" w:rsidRDefault="00D557FE" w:rsidP="00BA4144">
            <w:pPr>
              <w:rPr>
                <w:color w:val="0000CC"/>
                <w:sz w:val="19"/>
                <w:szCs w:val="19"/>
              </w:rPr>
            </w:pPr>
          </w:p>
        </w:tc>
      </w:tr>
      <w:tr w:rsidR="00D557FE" w:rsidTr="006D135C">
        <w:tc>
          <w:tcPr>
            <w:tcW w:w="288" w:type="dxa"/>
            <w:shd w:val="clear" w:color="auto" w:fill="A6A6A6" w:themeFill="background1" w:themeFillShade="A6"/>
          </w:tcPr>
          <w:p w:rsidR="00D557FE" w:rsidRPr="00EF4474" w:rsidRDefault="00D557FE" w:rsidP="00BA4144">
            <w:pPr>
              <w:rPr>
                <w:sz w:val="20"/>
                <w:szCs w:val="20"/>
              </w:rPr>
            </w:pPr>
          </w:p>
        </w:tc>
        <w:tc>
          <w:tcPr>
            <w:tcW w:w="270" w:type="dxa"/>
            <w:tcBorders>
              <w:right w:val="single" w:sz="4" w:space="0" w:color="auto"/>
            </w:tcBorders>
          </w:tcPr>
          <w:p w:rsidR="00D557FE" w:rsidRPr="00EF4474" w:rsidRDefault="00D557FE" w:rsidP="00BA4144">
            <w:pPr>
              <w:rPr>
                <w:sz w:val="20"/>
                <w:szCs w:val="20"/>
              </w:rPr>
            </w:pPr>
          </w:p>
        </w:tc>
        <w:tc>
          <w:tcPr>
            <w:tcW w:w="1242" w:type="dxa"/>
            <w:tcBorders>
              <w:left w:val="single" w:sz="4" w:space="0" w:color="auto"/>
              <w:right w:val="single" w:sz="4" w:space="0" w:color="auto"/>
            </w:tcBorders>
            <w:shd w:val="clear" w:color="auto" w:fill="FFFF00"/>
          </w:tcPr>
          <w:p w:rsidR="00D557FE" w:rsidRPr="00EF4474" w:rsidRDefault="00D557FE" w:rsidP="00BA4144">
            <w:pPr>
              <w:rPr>
                <w:b/>
                <w:sz w:val="20"/>
                <w:szCs w:val="20"/>
              </w:rPr>
            </w:pPr>
            <w:r w:rsidRPr="00EF4474">
              <w:rPr>
                <w:b/>
                <w:sz w:val="20"/>
                <w:szCs w:val="20"/>
              </w:rPr>
              <w:t>Liquidity</w:t>
            </w:r>
          </w:p>
        </w:tc>
        <w:tc>
          <w:tcPr>
            <w:tcW w:w="8820" w:type="dxa"/>
          </w:tcPr>
          <w:p w:rsidR="00D557FE" w:rsidRPr="006D135C" w:rsidRDefault="00D557FE" w:rsidP="00BA4144">
            <w:pPr>
              <w:rPr>
                <w:color w:val="0000CC"/>
                <w:sz w:val="19"/>
                <w:szCs w:val="19"/>
              </w:rPr>
            </w:pPr>
            <w:r w:rsidRPr="006D135C">
              <w:rPr>
                <w:color w:val="0000CC"/>
                <w:sz w:val="19"/>
                <w:szCs w:val="19"/>
              </w:rPr>
              <w:t>The Certificate offers daily liquidity.</w:t>
            </w:r>
          </w:p>
        </w:tc>
      </w:tr>
      <w:tr w:rsidR="00D557FE" w:rsidTr="006D135C">
        <w:tc>
          <w:tcPr>
            <w:tcW w:w="288" w:type="dxa"/>
            <w:shd w:val="clear" w:color="auto" w:fill="A6A6A6" w:themeFill="background1" w:themeFillShade="A6"/>
          </w:tcPr>
          <w:p w:rsidR="00D557FE" w:rsidRPr="00EF4474" w:rsidRDefault="00D557FE" w:rsidP="00BA4144">
            <w:pPr>
              <w:rPr>
                <w:sz w:val="20"/>
                <w:szCs w:val="20"/>
              </w:rPr>
            </w:pPr>
          </w:p>
        </w:tc>
        <w:tc>
          <w:tcPr>
            <w:tcW w:w="270" w:type="dxa"/>
            <w:tcBorders>
              <w:right w:val="single" w:sz="4" w:space="0" w:color="auto"/>
            </w:tcBorders>
          </w:tcPr>
          <w:p w:rsidR="00D557FE" w:rsidRPr="00EF4474" w:rsidRDefault="00D557FE" w:rsidP="00BA4144">
            <w:pPr>
              <w:rPr>
                <w:sz w:val="20"/>
                <w:szCs w:val="20"/>
              </w:rPr>
            </w:pPr>
          </w:p>
        </w:tc>
        <w:tc>
          <w:tcPr>
            <w:tcW w:w="1242" w:type="dxa"/>
            <w:tcBorders>
              <w:left w:val="single" w:sz="4" w:space="0" w:color="auto"/>
              <w:right w:val="single" w:sz="4" w:space="0" w:color="auto"/>
            </w:tcBorders>
            <w:shd w:val="clear" w:color="auto" w:fill="FFFF00"/>
          </w:tcPr>
          <w:p w:rsidR="00D557FE" w:rsidRPr="00A805CF" w:rsidRDefault="00D557FE" w:rsidP="00BA4144">
            <w:pPr>
              <w:rPr>
                <w:b/>
                <w:sz w:val="10"/>
                <w:szCs w:val="10"/>
              </w:rPr>
            </w:pPr>
          </w:p>
        </w:tc>
        <w:tc>
          <w:tcPr>
            <w:tcW w:w="8820" w:type="dxa"/>
          </w:tcPr>
          <w:p w:rsidR="00D557FE" w:rsidRPr="006D135C" w:rsidRDefault="00D557FE" w:rsidP="00BA4144">
            <w:pPr>
              <w:rPr>
                <w:color w:val="0000CC"/>
                <w:sz w:val="19"/>
                <w:szCs w:val="19"/>
              </w:rPr>
            </w:pPr>
          </w:p>
        </w:tc>
      </w:tr>
      <w:tr w:rsidR="00D557FE" w:rsidTr="006D135C">
        <w:trPr>
          <w:trHeight w:val="80"/>
        </w:trPr>
        <w:tc>
          <w:tcPr>
            <w:tcW w:w="288" w:type="dxa"/>
            <w:shd w:val="clear" w:color="auto" w:fill="A6A6A6" w:themeFill="background1" w:themeFillShade="A6"/>
          </w:tcPr>
          <w:p w:rsidR="00D557FE" w:rsidRPr="00EF4474" w:rsidRDefault="00D557FE" w:rsidP="00BA4144">
            <w:pPr>
              <w:rPr>
                <w:sz w:val="20"/>
                <w:szCs w:val="20"/>
              </w:rPr>
            </w:pPr>
          </w:p>
        </w:tc>
        <w:tc>
          <w:tcPr>
            <w:tcW w:w="270" w:type="dxa"/>
            <w:tcBorders>
              <w:right w:val="single" w:sz="4" w:space="0" w:color="auto"/>
            </w:tcBorders>
          </w:tcPr>
          <w:p w:rsidR="00D557FE" w:rsidRPr="00EF4474" w:rsidRDefault="00D557FE" w:rsidP="00BA4144">
            <w:pPr>
              <w:rPr>
                <w:sz w:val="20"/>
                <w:szCs w:val="20"/>
              </w:rPr>
            </w:pPr>
          </w:p>
        </w:tc>
        <w:tc>
          <w:tcPr>
            <w:tcW w:w="1242" w:type="dxa"/>
            <w:tcBorders>
              <w:left w:val="single" w:sz="4" w:space="0" w:color="auto"/>
              <w:bottom w:val="single" w:sz="4" w:space="0" w:color="auto"/>
              <w:right w:val="single" w:sz="4" w:space="0" w:color="auto"/>
            </w:tcBorders>
            <w:shd w:val="clear" w:color="auto" w:fill="FFFF00"/>
          </w:tcPr>
          <w:p w:rsidR="00D557FE" w:rsidRPr="00EF4474" w:rsidRDefault="00D557FE" w:rsidP="00BA4144">
            <w:pPr>
              <w:rPr>
                <w:b/>
                <w:sz w:val="20"/>
                <w:szCs w:val="20"/>
              </w:rPr>
            </w:pPr>
            <w:r w:rsidRPr="00EF4474">
              <w:rPr>
                <w:b/>
                <w:sz w:val="20"/>
                <w:szCs w:val="20"/>
              </w:rPr>
              <w:t>Security</w:t>
            </w:r>
          </w:p>
        </w:tc>
        <w:tc>
          <w:tcPr>
            <w:tcW w:w="8820" w:type="dxa"/>
          </w:tcPr>
          <w:p w:rsidR="00D557FE" w:rsidRPr="006D135C" w:rsidRDefault="00ED76A4" w:rsidP="00BA4144">
            <w:pPr>
              <w:pStyle w:val="ListParagraph"/>
              <w:numPr>
                <w:ilvl w:val="0"/>
                <w:numId w:val="1"/>
              </w:numPr>
              <w:rPr>
                <w:color w:val="0000CC"/>
                <w:sz w:val="19"/>
                <w:szCs w:val="19"/>
              </w:rPr>
            </w:pPr>
            <w:r w:rsidRPr="006D135C">
              <w:rPr>
                <w:color w:val="0000CC"/>
                <w:sz w:val="19"/>
                <w:szCs w:val="19"/>
              </w:rPr>
              <w:t>First Federal Yin</w:t>
            </w:r>
            <w:r w:rsidR="00D557FE" w:rsidRPr="006D135C">
              <w:rPr>
                <w:color w:val="0000CC"/>
                <w:sz w:val="19"/>
                <w:szCs w:val="19"/>
              </w:rPr>
              <w:t xml:space="preserve"> Ltd. has a low volatility of 2.45%</w:t>
            </w:r>
          </w:p>
          <w:p w:rsidR="00D557FE" w:rsidRPr="006D135C" w:rsidRDefault="00D557FE" w:rsidP="007662D1">
            <w:pPr>
              <w:pStyle w:val="ListParagraph"/>
              <w:numPr>
                <w:ilvl w:val="0"/>
                <w:numId w:val="1"/>
              </w:numPr>
              <w:rPr>
                <w:color w:val="0000CC"/>
                <w:sz w:val="19"/>
                <w:szCs w:val="19"/>
              </w:rPr>
            </w:pPr>
            <w:r w:rsidRPr="006D135C">
              <w:rPr>
                <w:color w:val="0000CC"/>
                <w:sz w:val="19"/>
                <w:szCs w:val="19"/>
              </w:rPr>
              <w:t>Over 92% positive months (only 13 losing months)</w:t>
            </w:r>
          </w:p>
          <w:p w:rsidR="00D557FE" w:rsidRPr="006D135C" w:rsidRDefault="00D557FE" w:rsidP="007662D1">
            <w:pPr>
              <w:pStyle w:val="ListParagraph"/>
              <w:numPr>
                <w:ilvl w:val="0"/>
                <w:numId w:val="1"/>
              </w:numPr>
              <w:rPr>
                <w:color w:val="0000CC"/>
                <w:sz w:val="19"/>
                <w:szCs w:val="19"/>
              </w:rPr>
            </w:pPr>
            <w:r w:rsidRPr="006D135C">
              <w:rPr>
                <w:color w:val="0000CC"/>
                <w:sz w:val="19"/>
                <w:szCs w:val="19"/>
              </w:rPr>
              <w:t>15- year track record of the Fund (CAGR of 11.04% in USD)</w:t>
            </w:r>
          </w:p>
          <w:p w:rsidR="00D557FE" w:rsidRPr="006D135C" w:rsidRDefault="00D557FE" w:rsidP="00450C68">
            <w:pPr>
              <w:pStyle w:val="ListParagraph"/>
              <w:numPr>
                <w:ilvl w:val="0"/>
                <w:numId w:val="1"/>
              </w:numPr>
              <w:rPr>
                <w:color w:val="0000CC"/>
                <w:sz w:val="19"/>
                <w:szCs w:val="19"/>
              </w:rPr>
            </w:pPr>
            <w:r w:rsidRPr="006D135C">
              <w:rPr>
                <w:color w:val="0000CC"/>
                <w:sz w:val="19"/>
                <w:szCs w:val="19"/>
              </w:rPr>
              <w:t>Low correlation to equities and bonds</w:t>
            </w:r>
          </w:p>
        </w:tc>
      </w:tr>
    </w:tbl>
    <w:p w:rsidR="00136365" w:rsidRPr="00A805CF" w:rsidRDefault="00136365" w:rsidP="00BA4144">
      <w:pPr>
        <w:spacing w:after="0"/>
        <w:rPr>
          <w:b/>
          <w:color w:val="0000CC"/>
          <w:sz w:val="10"/>
          <w:szCs w:val="10"/>
        </w:rPr>
      </w:pPr>
    </w:p>
    <w:tbl>
      <w:tblPr>
        <w:tblStyle w:val="TableGrid"/>
        <w:tblW w:w="94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0"/>
        <w:gridCol w:w="720"/>
        <w:gridCol w:w="651"/>
        <w:gridCol w:w="594"/>
        <w:gridCol w:w="595"/>
        <w:gridCol w:w="595"/>
        <w:gridCol w:w="595"/>
        <w:gridCol w:w="595"/>
        <w:gridCol w:w="595"/>
        <w:gridCol w:w="595"/>
        <w:gridCol w:w="595"/>
        <w:gridCol w:w="595"/>
        <w:gridCol w:w="595"/>
        <w:gridCol w:w="771"/>
        <w:gridCol w:w="768"/>
      </w:tblGrid>
      <w:tr w:rsidR="0040091B" w:rsidTr="00A805CF">
        <w:trPr>
          <w:trHeight w:val="21"/>
          <w:jc w:val="center"/>
        </w:trPr>
        <w:tc>
          <w:tcPr>
            <w:tcW w:w="550" w:type="dxa"/>
            <w:vAlign w:val="bottom"/>
          </w:tcPr>
          <w:p w:rsidR="0040091B" w:rsidRDefault="0040091B" w:rsidP="0040091B">
            <w:pPr>
              <w:rPr>
                <w:rFonts w:ascii="Arial Narrow" w:hAnsi="Arial Narrow"/>
                <w:color w:val="000000"/>
                <w:sz w:val="16"/>
                <w:szCs w:val="16"/>
              </w:rPr>
            </w:pPr>
          </w:p>
          <w:p w:rsidR="0040091B" w:rsidRPr="00D01ADB" w:rsidRDefault="0040091B" w:rsidP="0040091B">
            <w:pPr>
              <w:rPr>
                <w:rFonts w:ascii="Arial Narrow" w:hAnsi="Arial Narrow"/>
                <w:color w:val="000000"/>
                <w:sz w:val="16"/>
                <w:szCs w:val="16"/>
              </w:rPr>
            </w:pPr>
          </w:p>
        </w:tc>
        <w:tc>
          <w:tcPr>
            <w:tcW w:w="720" w:type="dxa"/>
            <w:vAlign w:val="bottom"/>
          </w:tcPr>
          <w:p w:rsidR="0040091B" w:rsidRPr="00D01ADB" w:rsidRDefault="0040091B" w:rsidP="0040091B">
            <w:pPr>
              <w:jc w:val="center"/>
              <w:rPr>
                <w:rFonts w:ascii="Arial Narrow" w:hAnsi="Arial Narrow"/>
                <w:color w:val="000000"/>
                <w:sz w:val="20"/>
                <w:szCs w:val="20"/>
              </w:rPr>
            </w:pPr>
          </w:p>
        </w:tc>
        <w:tc>
          <w:tcPr>
            <w:tcW w:w="651" w:type="dxa"/>
            <w:vAlign w:val="bottom"/>
          </w:tcPr>
          <w:p w:rsidR="0040091B" w:rsidRPr="00D01ADB" w:rsidRDefault="0040091B" w:rsidP="0040091B">
            <w:pPr>
              <w:jc w:val="center"/>
              <w:rPr>
                <w:rFonts w:ascii="Arial Narrow" w:hAnsi="Arial Narrow"/>
                <w:color w:val="000000"/>
                <w:sz w:val="20"/>
                <w:szCs w:val="20"/>
              </w:rPr>
            </w:pPr>
          </w:p>
        </w:tc>
        <w:tc>
          <w:tcPr>
            <w:tcW w:w="594"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595" w:type="dxa"/>
            <w:vAlign w:val="bottom"/>
          </w:tcPr>
          <w:p w:rsidR="0040091B" w:rsidRPr="00D01ADB" w:rsidRDefault="0040091B" w:rsidP="0040091B">
            <w:pPr>
              <w:jc w:val="center"/>
              <w:rPr>
                <w:rFonts w:ascii="Arial Narrow" w:hAnsi="Arial Narrow"/>
                <w:color w:val="000000"/>
                <w:sz w:val="20"/>
                <w:szCs w:val="20"/>
              </w:rPr>
            </w:pPr>
          </w:p>
        </w:tc>
        <w:tc>
          <w:tcPr>
            <w:tcW w:w="771" w:type="dxa"/>
            <w:shd w:val="clear" w:color="auto" w:fill="002060"/>
            <w:vAlign w:val="bottom"/>
          </w:tcPr>
          <w:p w:rsidR="0040091B" w:rsidRPr="00374457" w:rsidRDefault="0024642F" w:rsidP="0040091B">
            <w:pPr>
              <w:jc w:val="center"/>
              <w:rPr>
                <w:rFonts w:ascii="Arial Narrow" w:hAnsi="Arial Narrow"/>
                <w:b/>
                <w:bCs/>
                <w:color w:val="FFFFFF" w:themeColor="background1"/>
                <w:sz w:val="24"/>
                <w:szCs w:val="20"/>
              </w:rPr>
            </w:pPr>
            <w:r>
              <w:rPr>
                <w:rFonts w:ascii="Arial Narrow" w:hAnsi="Arial Narrow"/>
                <w:b/>
                <w:bCs/>
                <w:color w:val="FFFFFF" w:themeColor="background1"/>
                <w:sz w:val="24"/>
                <w:szCs w:val="20"/>
              </w:rPr>
              <w:t>FFY</w:t>
            </w:r>
          </w:p>
        </w:tc>
        <w:tc>
          <w:tcPr>
            <w:tcW w:w="768" w:type="dxa"/>
            <w:shd w:val="clear" w:color="auto" w:fill="002060"/>
            <w:vAlign w:val="bottom"/>
          </w:tcPr>
          <w:p w:rsidR="0040091B" w:rsidRPr="00374457" w:rsidRDefault="0024642F" w:rsidP="0040091B">
            <w:pPr>
              <w:jc w:val="center"/>
              <w:rPr>
                <w:rFonts w:ascii="Arial Narrow" w:hAnsi="Arial Narrow"/>
                <w:b/>
                <w:bCs/>
                <w:color w:val="FFFFFF" w:themeColor="background1"/>
                <w:sz w:val="24"/>
                <w:szCs w:val="20"/>
              </w:rPr>
            </w:pPr>
            <w:r>
              <w:rPr>
                <w:rFonts w:ascii="Arial Narrow" w:hAnsi="Arial Narrow"/>
                <w:b/>
                <w:bCs/>
                <w:color w:val="FFFFFF" w:themeColor="background1"/>
                <w:sz w:val="24"/>
                <w:szCs w:val="20"/>
              </w:rPr>
              <w:t>FFY</w:t>
            </w:r>
            <w:r w:rsidR="0040091B" w:rsidRPr="00374457">
              <w:rPr>
                <w:rFonts w:ascii="Arial Narrow" w:hAnsi="Arial Narrow"/>
                <w:b/>
                <w:bCs/>
                <w:color w:val="FFFFFF" w:themeColor="background1"/>
                <w:sz w:val="24"/>
                <w:szCs w:val="20"/>
              </w:rPr>
              <w:t xml:space="preserve"> 3X</w:t>
            </w:r>
          </w:p>
        </w:tc>
      </w:tr>
      <w:tr w:rsidR="0040091B" w:rsidTr="00A805CF">
        <w:trPr>
          <w:trHeight w:val="21"/>
          <w:jc w:val="center"/>
        </w:trPr>
        <w:tc>
          <w:tcPr>
            <w:tcW w:w="550" w:type="dxa"/>
            <w:shd w:val="clear" w:color="auto" w:fill="002060"/>
            <w:vAlign w:val="bottom"/>
          </w:tcPr>
          <w:p w:rsidR="0040091B" w:rsidRPr="00664A51" w:rsidRDefault="0040091B" w:rsidP="0040091B">
            <w:pPr>
              <w:rPr>
                <w:rFonts w:ascii="Arial Narrow" w:hAnsi="Arial Narrow" w:cstheme="minorHAnsi"/>
                <w:color w:val="FFFFFF" w:themeColor="background1"/>
                <w:sz w:val="18"/>
                <w:szCs w:val="18"/>
              </w:rPr>
            </w:pPr>
          </w:p>
        </w:tc>
        <w:tc>
          <w:tcPr>
            <w:tcW w:w="720"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Jan</w:t>
            </w:r>
          </w:p>
        </w:tc>
        <w:tc>
          <w:tcPr>
            <w:tcW w:w="651"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Feb</w:t>
            </w:r>
          </w:p>
        </w:tc>
        <w:tc>
          <w:tcPr>
            <w:tcW w:w="594"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Mar</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Apr</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May</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Jun</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Jul</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Aug</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Sep</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Oct</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Nov</w:t>
            </w:r>
          </w:p>
        </w:tc>
        <w:tc>
          <w:tcPr>
            <w:tcW w:w="595" w:type="dxa"/>
            <w:shd w:val="clear" w:color="auto" w:fill="002060"/>
            <w:vAlign w:val="bottom"/>
          </w:tcPr>
          <w:p w:rsidR="0040091B" w:rsidRPr="00374457" w:rsidRDefault="0040091B" w:rsidP="0040091B">
            <w:pPr>
              <w:jc w:val="center"/>
              <w:rPr>
                <w:rFonts w:ascii="Arial Narrow" w:hAnsi="Arial Narrow" w:cstheme="minorHAnsi"/>
                <w:b/>
                <w:color w:val="FFFFFF" w:themeColor="background1"/>
                <w:sz w:val="20"/>
                <w:szCs w:val="20"/>
                <w:u w:val="single"/>
              </w:rPr>
            </w:pPr>
            <w:r w:rsidRPr="00374457">
              <w:rPr>
                <w:rFonts w:ascii="Arial Narrow" w:hAnsi="Arial Narrow" w:cstheme="minorHAnsi"/>
                <w:b/>
                <w:color w:val="FFFFFF" w:themeColor="background1"/>
                <w:sz w:val="20"/>
                <w:szCs w:val="20"/>
                <w:u w:val="single"/>
              </w:rPr>
              <w:t>Dec</w:t>
            </w:r>
          </w:p>
        </w:tc>
        <w:tc>
          <w:tcPr>
            <w:tcW w:w="771" w:type="dxa"/>
            <w:shd w:val="clear" w:color="auto" w:fill="002060"/>
            <w:vAlign w:val="bottom"/>
          </w:tcPr>
          <w:p w:rsidR="0040091B" w:rsidRPr="00374457" w:rsidRDefault="0040091B" w:rsidP="0040091B">
            <w:pPr>
              <w:jc w:val="center"/>
              <w:rPr>
                <w:rFonts w:ascii="Arial Narrow" w:hAnsi="Arial Narrow" w:cstheme="minorHAnsi"/>
                <w:color w:val="FFFFFF" w:themeColor="background1"/>
                <w:sz w:val="20"/>
                <w:szCs w:val="18"/>
                <w:u w:val="single"/>
              </w:rPr>
            </w:pPr>
            <w:r w:rsidRPr="00374457">
              <w:rPr>
                <w:rFonts w:ascii="Arial Narrow" w:hAnsi="Arial Narrow" w:cstheme="minorHAnsi"/>
                <w:color w:val="FFFFFF" w:themeColor="background1"/>
                <w:sz w:val="20"/>
                <w:szCs w:val="18"/>
                <w:u w:val="single"/>
              </w:rPr>
              <w:t>Annual</w:t>
            </w:r>
          </w:p>
        </w:tc>
        <w:tc>
          <w:tcPr>
            <w:tcW w:w="768" w:type="dxa"/>
            <w:shd w:val="clear" w:color="auto" w:fill="002060"/>
            <w:vAlign w:val="bottom"/>
          </w:tcPr>
          <w:p w:rsidR="0040091B" w:rsidRPr="00374457" w:rsidRDefault="0040091B" w:rsidP="0040091B">
            <w:pPr>
              <w:jc w:val="center"/>
              <w:rPr>
                <w:rFonts w:ascii="Arial Narrow" w:hAnsi="Arial Narrow" w:cstheme="minorHAnsi"/>
                <w:color w:val="FFFFFF" w:themeColor="background1"/>
                <w:sz w:val="20"/>
                <w:szCs w:val="18"/>
                <w:u w:val="single"/>
              </w:rPr>
            </w:pPr>
            <w:r w:rsidRPr="00374457">
              <w:rPr>
                <w:rFonts w:ascii="Arial Narrow" w:hAnsi="Arial Narrow" w:cstheme="minorHAnsi"/>
                <w:color w:val="FFFFFF" w:themeColor="background1"/>
                <w:sz w:val="20"/>
                <w:szCs w:val="18"/>
                <w:u w:val="single"/>
              </w:rPr>
              <w:t>Annual</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1999</w:t>
            </w:r>
          </w:p>
        </w:tc>
        <w:tc>
          <w:tcPr>
            <w:tcW w:w="720" w:type="dxa"/>
            <w:shd w:val="clear" w:color="auto" w:fill="FFFFFF" w:themeFill="background1"/>
            <w:vAlign w:val="center"/>
          </w:tcPr>
          <w:p w:rsidR="004427FA" w:rsidRPr="006D135C" w:rsidRDefault="00374457" w:rsidP="00374457">
            <w:pPr>
              <w:jc w:val="right"/>
              <w:rPr>
                <w:color w:val="000000"/>
                <w:sz w:val="19"/>
                <w:szCs w:val="19"/>
              </w:rPr>
            </w:pPr>
            <w:r w:rsidRPr="006D135C">
              <w:rPr>
                <w:color w:val="000000"/>
                <w:sz w:val="19"/>
                <w:szCs w:val="19"/>
              </w:rPr>
              <w:tab/>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-0.05%</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0.85%</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0.39%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0.66%</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5.69%</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4.73%</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2000</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1.02%</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0.26%</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0.30%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0.97%</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0.79%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1.53%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0.76%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-0.27%</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-0.35%</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6.09%</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4.81%</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2001</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0.36%</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2.11%</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0.26%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1.81%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0.27%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1.36%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-0.14%</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1.98%</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0.34%</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0.51%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1.26%</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10.96%</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18.83%</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2002</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0.38%</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0.69%</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1.05%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0.42%</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0.70%</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0.02%</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-0.64%</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0.13%</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1.33%</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0.24%</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1.09%</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5.71%</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2.72%</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2003</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0.20%</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1.86%</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1.03%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1.16%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2.32%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1.75%</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2.14%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1.22%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0.98%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1.56%</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15.09%</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32.00%</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2004</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0.77%</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0.03%</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1.14%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1.63%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0.21%</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2.72%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0.70%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0.44%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1.77%</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1.36%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1.21%</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0.08%</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12.71%</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25.91%</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2005</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1.71%</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1.26%</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-0.01%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0.93%</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1.86%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0.01%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0.86%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1.61%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1.37%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0.78%</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2.75%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0.29%</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14.24%</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30.55%</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2006</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0.75%</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0.25%</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0.66%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0.73%</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0.54%</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0.88%</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0.32%</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2.79%</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1.85%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1.23%</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10.49%</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18.70%</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2007</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0.02%</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0.19%</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2.38%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0.44%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1.22%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1.22%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1.28%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2.14%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0.86%</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12.25%</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22.86%</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2008</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0.85%</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-0.14%</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1.62%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0.52%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0.31%</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1.06%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0.46%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0.94%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0.43%</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7.56%</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9.44%</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2009</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0.11%</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3.01%</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0.72%</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0.93%</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0.46%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0.42%</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0.51%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2.05%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1.16%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1.34%</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0.41%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1.03%</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12.81%</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25.87%</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2010</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0.36%</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0.33%</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3.29%</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0.67%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1.65%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2.22%</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2.77%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-0.06%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0.50%</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0.71%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0.81%</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14.43%</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31.55%</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2011</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1.04%</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0.86%</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0.46%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0.44%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0.36%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1.71%</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1.42%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1.49%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-0.44%</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7.82%</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10.36%</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2012</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1.26%</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0.75%</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1.30%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1.26%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1.70%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1.82%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0.81%</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0.94%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0.59%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0.86%</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12.48%</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24.31%</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2013</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1.71%</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0.39%</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1.51%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0.66%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0.49%</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1.45%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1.07%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0.58%</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1.79%</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0.16%</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10.79%</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18.21%</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2014</w:t>
            </w:r>
          </w:p>
        </w:tc>
        <w:tc>
          <w:tcPr>
            <w:tcW w:w="720"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1.99%</w:t>
            </w:r>
          </w:p>
        </w:tc>
        <w:tc>
          <w:tcPr>
            <w:tcW w:w="651"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1.40%</w:t>
            </w:r>
          </w:p>
        </w:tc>
        <w:tc>
          <w:tcPr>
            <w:tcW w:w="594"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-0.06%</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0.23%</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0.98%</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1.31%</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0.37%</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0.18%</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1.65%</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0.03%</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1.68%</w:t>
            </w:r>
          </w:p>
        </w:tc>
        <w:tc>
          <w:tcPr>
            <w:tcW w:w="595" w:type="dxa"/>
            <w:shd w:val="clear" w:color="auto" w:fill="D9D9D9" w:themeFill="background1" w:themeFillShade="D9"/>
            <w:vAlign w:val="center"/>
          </w:tcPr>
          <w:p w:rsidR="004427FA" w:rsidRPr="006D135C" w:rsidRDefault="004427FA" w:rsidP="00374457">
            <w:pPr>
              <w:jc w:val="right"/>
              <w:rPr>
                <w:color w:val="000000"/>
                <w:sz w:val="19"/>
                <w:szCs w:val="19"/>
              </w:rPr>
            </w:pPr>
            <w:r w:rsidRPr="006D135C">
              <w:rPr>
                <w:color w:val="000000"/>
                <w:sz w:val="19"/>
                <w:szCs w:val="19"/>
              </w:rPr>
              <w:t>0.79%</w:t>
            </w:r>
          </w:p>
        </w:tc>
        <w:tc>
          <w:tcPr>
            <w:tcW w:w="771" w:type="dxa"/>
            <w:tcBorders>
              <w:right w:val="single" w:sz="4" w:space="0" w:color="auto"/>
            </w:tcBorders>
            <w:shd w:val="clear" w:color="auto" w:fill="D9D9D9" w:themeFill="background1" w:themeFillShade="D9"/>
            <w:vAlign w:val="center"/>
          </w:tcPr>
          <w:p w:rsidR="004427FA" w:rsidRPr="006D135C" w:rsidRDefault="004427FA" w:rsidP="004427FA">
            <w:pPr>
              <w:jc w:val="right"/>
              <w:rPr>
                <w:b/>
                <w:bCs/>
                <w:color w:val="000000"/>
                <w:sz w:val="19"/>
                <w:szCs w:val="19"/>
              </w:rPr>
            </w:pPr>
            <w:r w:rsidRPr="006D135C">
              <w:rPr>
                <w:b/>
                <w:bCs/>
                <w:color w:val="000000"/>
                <w:sz w:val="19"/>
                <w:szCs w:val="19"/>
              </w:rPr>
              <w:t>11.04%</w:t>
            </w:r>
          </w:p>
        </w:tc>
        <w:tc>
          <w:tcPr>
            <w:tcW w:w="768" w:type="dxa"/>
            <w:tcBorders>
              <w:right w:val="single" w:sz="4" w:space="0" w:color="auto"/>
            </w:tcBorders>
            <w:shd w:val="clear" w:color="auto" w:fill="D9D9D9" w:themeFill="background1" w:themeFillShade="D9"/>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20.68%</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2015</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0.10%</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0.68%</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0.62%</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0.53%</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0.57%</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0.57%</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0.85%</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1.54%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0.94%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0.89%</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8.08%</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9.64%</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2016</w:t>
            </w:r>
          </w:p>
        </w:tc>
        <w:tc>
          <w:tcPr>
            <w:tcW w:w="720"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0.90%</w:t>
            </w:r>
          </w:p>
        </w:tc>
        <w:tc>
          <w:tcPr>
            <w:tcW w:w="651"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1.69%</w:t>
            </w:r>
          </w:p>
        </w:tc>
        <w:tc>
          <w:tcPr>
            <w:tcW w:w="594"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-0.09%</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0.06%</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1.10%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0.78%</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0.87%</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1.00%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1.64%</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0.20%</w:t>
            </w:r>
          </w:p>
        </w:tc>
        <w:tc>
          <w:tcPr>
            <w:tcW w:w="595" w:type="dxa"/>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-0.01%</w:t>
            </w:r>
          </w:p>
        </w:tc>
        <w:tc>
          <w:tcPr>
            <w:tcW w:w="771" w:type="dxa"/>
            <w:tcBorders>
              <w:right w:val="single" w:sz="4" w:space="0" w:color="auto"/>
            </w:tcBorders>
            <w:shd w:val="clear" w:color="auto" w:fill="FFFFFF" w:themeFill="background1"/>
            <w:vAlign w:val="center"/>
          </w:tcPr>
          <w:p w:rsidR="004427FA" w:rsidRPr="006D135C" w:rsidRDefault="004427FA" w:rsidP="004427FA">
            <w:pPr>
              <w:jc w:val="right"/>
              <w:rPr>
                <w:b/>
                <w:bCs/>
                <w:color w:val="000000"/>
                <w:sz w:val="19"/>
                <w:szCs w:val="19"/>
              </w:rPr>
            </w:pPr>
            <w:r w:rsidRPr="006D135C">
              <w:rPr>
                <w:b/>
                <w:bCs/>
                <w:color w:val="000000"/>
                <w:sz w:val="19"/>
                <w:szCs w:val="19"/>
              </w:rPr>
              <w:t>8.58%</w:t>
            </w:r>
          </w:p>
        </w:tc>
        <w:tc>
          <w:tcPr>
            <w:tcW w:w="768" w:type="dxa"/>
            <w:tcBorders>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12.50%</w:t>
            </w:r>
          </w:p>
        </w:tc>
      </w:tr>
      <w:tr w:rsidR="004427FA" w:rsidTr="00A805CF">
        <w:trPr>
          <w:trHeight w:val="21"/>
          <w:jc w:val="center"/>
        </w:trPr>
        <w:tc>
          <w:tcPr>
            <w:tcW w:w="550" w:type="dxa"/>
            <w:shd w:val="clear" w:color="auto" w:fill="002060"/>
            <w:vAlign w:val="center"/>
          </w:tcPr>
          <w:p w:rsidR="004427FA" w:rsidRPr="006D135C" w:rsidRDefault="004427FA" w:rsidP="00374457">
            <w:pPr>
              <w:jc w:val="center"/>
              <w:rPr>
                <w:rFonts w:cstheme="minorHAnsi"/>
                <w:b/>
                <w:color w:val="FFFFFF" w:themeColor="background1"/>
                <w:sz w:val="19"/>
                <w:szCs w:val="19"/>
              </w:rPr>
            </w:pPr>
            <w:r w:rsidRPr="006D135C">
              <w:rPr>
                <w:rFonts w:cstheme="minorHAnsi"/>
                <w:b/>
                <w:color w:val="FFFFFF" w:themeColor="background1"/>
                <w:sz w:val="19"/>
                <w:szCs w:val="19"/>
              </w:rPr>
              <w:t>2017</w:t>
            </w:r>
          </w:p>
        </w:tc>
        <w:tc>
          <w:tcPr>
            <w:tcW w:w="720"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0.73%</w:t>
            </w:r>
          </w:p>
        </w:tc>
        <w:tc>
          <w:tcPr>
            <w:tcW w:w="651"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1.86%</w:t>
            </w:r>
          </w:p>
        </w:tc>
        <w:tc>
          <w:tcPr>
            <w:tcW w:w="594"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0.86%</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1.45%</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1.32%</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0.06%</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0.17%</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595" w:type="dxa"/>
            <w:tcBorders>
              <w:bottom w:val="single" w:sz="4" w:space="0" w:color="auto"/>
            </w:tcBorders>
            <w:shd w:val="clear" w:color="auto" w:fill="FFFFFF" w:themeFill="background1"/>
            <w:vAlign w:val="center"/>
          </w:tcPr>
          <w:p w:rsidR="004427FA" w:rsidRPr="006D135C" w:rsidRDefault="004427FA" w:rsidP="00374457">
            <w:pPr>
              <w:jc w:val="right"/>
              <w:rPr>
                <w:color w:val="000000"/>
                <w:sz w:val="19"/>
                <w:szCs w:val="19"/>
              </w:rPr>
            </w:pPr>
            <w:r w:rsidRPr="006D135C">
              <w:rPr>
                <w:color w:val="000000"/>
                <w:sz w:val="19"/>
                <w:szCs w:val="19"/>
              </w:rPr>
              <w:t> </w:t>
            </w:r>
          </w:p>
        </w:tc>
        <w:tc>
          <w:tcPr>
            <w:tcW w:w="771" w:type="dxa"/>
            <w:tcBorders>
              <w:bottom w:val="single" w:sz="4" w:space="0" w:color="auto"/>
              <w:right w:val="single" w:sz="4" w:space="0" w:color="auto"/>
            </w:tcBorders>
            <w:shd w:val="clear" w:color="auto" w:fill="FFFFFF" w:themeFill="background1"/>
            <w:vAlign w:val="center"/>
          </w:tcPr>
          <w:p w:rsidR="004427FA" w:rsidRPr="006D135C" w:rsidRDefault="004427FA" w:rsidP="004427FA">
            <w:pPr>
              <w:jc w:val="right"/>
              <w:rPr>
                <w:b/>
                <w:color w:val="000000"/>
                <w:sz w:val="19"/>
                <w:szCs w:val="19"/>
              </w:rPr>
            </w:pPr>
            <w:r w:rsidRPr="006D135C">
              <w:rPr>
                <w:b/>
                <w:color w:val="000000"/>
                <w:sz w:val="19"/>
                <w:szCs w:val="19"/>
              </w:rPr>
              <w:t>11.61% </w:t>
            </w:r>
          </w:p>
        </w:tc>
        <w:tc>
          <w:tcPr>
            <w:tcW w:w="768" w:type="dxa"/>
            <w:tcBorders>
              <w:bottom w:val="single" w:sz="4" w:space="0" w:color="auto"/>
              <w:right w:val="single" w:sz="4" w:space="0" w:color="auto"/>
            </w:tcBorders>
            <w:shd w:val="clear" w:color="auto" w:fill="FFFFFF" w:themeFill="background1"/>
            <w:vAlign w:val="bottom"/>
          </w:tcPr>
          <w:p w:rsidR="004427FA" w:rsidRPr="006D135C" w:rsidRDefault="004427FA" w:rsidP="004427FA">
            <w:pPr>
              <w:jc w:val="right"/>
              <w:rPr>
                <w:rFonts w:ascii="Calibri" w:hAnsi="Calibri"/>
                <w:b/>
                <w:color w:val="000000"/>
                <w:sz w:val="19"/>
                <w:szCs w:val="19"/>
              </w:rPr>
            </w:pPr>
            <w:r w:rsidRPr="006D135C">
              <w:rPr>
                <w:rFonts w:ascii="Calibri" w:hAnsi="Calibri"/>
                <w:b/>
                <w:color w:val="000000"/>
                <w:sz w:val="19"/>
                <w:szCs w:val="19"/>
              </w:rPr>
              <w:t>21.99%</w:t>
            </w:r>
          </w:p>
        </w:tc>
      </w:tr>
    </w:tbl>
    <w:p w:rsidR="00BA4144" w:rsidRDefault="00BA4144" w:rsidP="00BA4144">
      <w:pPr>
        <w:spacing w:after="0"/>
        <w:rPr>
          <w:b/>
        </w:rPr>
      </w:pPr>
      <w:bookmarkStart w:id="0" w:name="_GoBack"/>
      <w:bookmarkEnd w:id="0"/>
    </w:p>
    <w:tbl>
      <w:tblPr>
        <w:tblStyle w:val="TableGrid"/>
        <w:tblW w:w="10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066"/>
        <w:gridCol w:w="1919"/>
      </w:tblGrid>
      <w:tr w:rsidR="001E47D0" w:rsidRPr="00BB020E" w:rsidTr="00E91908">
        <w:trPr>
          <w:trHeight w:val="477"/>
        </w:trPr>
        <w:tc>
          <w:tcPr>
            <w:tcW w:w="9066" w:type="dxa"/>
            <w:shd w:val="clear" w:color="auto" w:fill="0000CC"/>
            <w:vAlign w:val="center"/>
          </w:tcPr>
          <w:p w:rsidR="001E47D0" w:rsidRPr="00BB020E" w:rsidRDefault="001E47D0" w:rsidP="00E91908">
            <w:pPr>
              <w:rPr>
                <w:rFonts w:ascii="Verdana" w:hAnsi="Verdana" w:cs="Lucida Sans Unicode"/>
                <w:b/>
                <w:color w:val="FFFFFF" w:themeColor="background1"/>
                <w:sz w:val="20"/>
                <w:szCs w:val="20"/>
              </w:rPr>
            </w:pPr>
          </w:p>
          <w:p w:rsidR="001E47D0" w:rsidRPr="00BB020E" w:rsidRDefault="001E47D0" w:rsidP="00E91908">
            <w:pPr>
              <w:rPr>
                <w:rFonts w:ascii="Verdana" w:hAnsi="Verdana" w:cs="Lucida Sans Unicode"/>
                <w:b/>
                <w:color w:val="FFFFFF" w:themeColor="background1"/>
                <w:sz w:val="44"/>
                <w:szCs w:val="44"/>
              </w:rPr>
            </w:pPr>
            <w:r w:rsidRPr="00BB020E">
              <w:rPr>
                <w:rFonts w:ascii="Verdana" w:hAnsi="Verdana" w:cs="Lucida Sans Unicode"/>
                <w:b/>
                <w:color w:val="FFFFFF" w:themeColor="background1"/>
                <w:sz w:val="44"/>
                <w:szCs w:val="44"/>
              </w:rPr>
              <w:t>First Federal Yin Ltd.</w:t>
            </w:r>
          </w:p>
        </w:tc>
        <w:tc>
          <w:tcPr>
            <w:tcW w:w="1919" w:type="dxa"/>
            <w:vMerge w:val="restart"/>
            <w:shd w:val="clear" w:color="auto" w:fill="0000CC"/>
            <w:vAlign w:val="bottom"/>
          </w:tcPr>
          <w:p w:rsidR="001E47D0" w:rsidRPr="00BB020E" w:rsidRDefault="001E47D0" w:rsidP="00E91908">
            <w:pPr>
              <w:jc w:val="center"/>
              <w:rPr>
                <w:rFonts w:ascii="Colonna MT" w:hAnsi="Colonna MT" w:cs="Lucida Sans Unicode"/>
                <w:color w:val="FFFFFF" w:themeColor="background1"/>
                <w:sz w:val="88"/>
                <w:szCs w:val="88"/>
              </w:rPr>
            </w:pPr>
            <w:r w:rsidRPr="00BB020E">
              <w:rPr>
                <w:rFonts w:ascii="Colonna MT" w:hAnsi="Colonna MT" w:cs="Lucida Sans Unicode"/>
                <w:color w:val="FFFFFF" w:themeColor="background1"/>
                <w:sz w:val="88"/>
                <w:szCs w:val="88"/>
              </w:rPr>
              <w:t>PNB</w:t>
            </w:r>
          </w:p>
          <w:p w:rsidR="001E47D0" w:rsidRDefault="001E47D0" w:rsidP="00E91908">
            <w:pPr>
              <w:jc w:val="center"/>
              <w:rPr>
                <w:rFonts w:ascii="Arial" w:hAnsi="Arial" w:cs="Arial"/>
                <w:color w:val="FFFFFF" w:themeColor="background1"/>
                <w:sz w:val="20"/>
                <w:szCs w:val="20"/>
              </w:rPr>
            </w:pPr>
            <w:r w:rsidRPr="006D135C">
              <w:rPr>
                <w:rFonts w:ascii="Arial" w:hAnsi="Arial" w:cs="Arial"/>
                <w:color w:val="FFFFFF" w:themeColor="background1"/>
                <w:sz w:val="20"/>
                <w:szCs w:val="20"/>
              </w:rPr>
              <w:t>Pure Native Bank</w:t>
            </w:r>
          </w:p>
          <w:p w:rsidR="001E47D0" w:rsidRDefault="001E47D0" w:rsidP="00E91908">
            <w:pPr>
              <w:jc w:val="center"/>
              <w:rPr>
                <w:rFonts w:ascii="Arial" w:hAnsi="Arial" w:cs="Arial"/>
                <w:color w:val="FFFFFF" w:themeColor="background1"/>
                <w:sz w:val="20"/>
                <w:szCs w:val="20"/>
              </w:rPr>
            </w:pPr>
          </w:p>
          <w:p w:rsidR="001E47D0" w:rsidRDefault="001E47D0" w:rsidP="00E91908">
            <w:pPr>
              <w:rPr>
                <w:rFonts w:ascii="Colonna MT" w:hAnsi="Colonna MT" w:cs="Lucida Sans Unicode"/>
                <w:color w:val="FFFFFF" w:themeColor="background1"/>
                <w:sz w:val="20"/>
                <w:szCs w:val="20"/>
              </w:rPr>
            </w:pPr>
          </w:p>
          <w:p w:rsidR="001E47D0" w:rsidRPr="00BB020E" w:rsidRDefault="001E47D0" w:rsidP="00E91908">
            <w:pPr>
              <w:jc w:val="center"/>
              <w:rPr>
                <w:rFonts w:ascii="Colonna MT" w:hAnsi="Colonna MT" w:cs="Lucida Sans Unicode"/>
                <w:color w:val="FFFFFF" w:themeColor="background1"/>
                <w:sz w:val="20"/>
                <w:szCs w:val="20"/>
              </w:rPr>
            </w:pPr>
          </w:p>
        </w:tc>
      </w:tr>
      <w:tr w:rsidR="001E47D0" w:rsidRPr="006D135C" w:rsidTr="00E91908">
        <w:trPr>
          <w:trHeight w:val="468"/>
        </w:trPr>
        <w:tc>
          <w:tcPr>
            <w:tcW w:w="9066" w:type="dxa"/>
            <w:shd w:val="clear" w:color="auto" w:fill="0000CC"/>
            <w:vAlign w:val="center"/>
          </w:tcPr>
          <w:p w:rsidR="001E47D0" w:rsidRPr="00BB020E" w:rsidRDefault="001E47D0" w:rsidP="00E91908">
            <w:pPr>
              <w:rPr>
                <w:rFonts w:ascii="Arial" w:hAnsi="Arial" w:cs="Arial"/>
                <w:color w:val="FFFFFF" w:themeColor="background1"/>
                <w:sz w:val="40"/>
                <w:szCs w:val="40"/>
              </w:rPr>
            </w:pPr>
          </w:p>
        </w:tc>
        <w:tc>
          <w:tcPr>
            <w:tcW w:w="1919" w:type="dxa"/>
            <w:vMerge/>
            <w:shd w:val="clear" w:color="auto" w:fill="0000CC"/>
          </w:tcPr>
          <w:p w:rsidR="001E47D0" w:rsidRPr="006D135C" w:rsidRDefault="001E47D0" w:rsidP="00E91908">
            <w:pPr>
              <w:jc w:val="center"/>
              <w:rPr>
                <w:rFonts w:ascii="Colonna MT" w:hAnsi="Colonna MT" w:cs="Lucida Sans Unicode"/>
                <w:color w:val="FFFFFF" w:themeColor="background1"/>
                <w:sz w:val="80"/>
                <w:szCs w:val="80"/>
              </w:rPr>
            </w:pPr>
          </w:p>
        </w:tc>
      </w:tr>
      <w:tr w:rsidR="001E47D0" w:rsidRPr="00BB020E" w:rsidTr="00E91908">
        <w:trPr>
          <w:trHeight w:val="249"/>
        </w:trPr>
        <w:tc>
          <w:tcPr>
            <w:tcW w:w="9066" w:type="dxa"/>
            <w:shd w:val="clear" w:color="auto" w:fill="0000CC"/>
            <w:vAlign w:val="center"/>
          </w:tcPr>
          <w:p w:rsidR="001E47D0" w:rsidRDefault="001E47D0" w:rsidP="00E91908">
            <w:pPr>
              <w:rPr>
                <w:rFonts w:ascii="Arial" w:hAnsi="Arial" w:cs="Arial"/>
                <w:color w:val="FFFFFF" w:themeColor="background1"/>
                <w:sz w:val="40"/>
                <w:szCs w:val="40"/>
              </w:rPr>
            </w:pPr>
            <w:r>
              <w:rPr>
                <w:rFonts w:ascii="Arial" w:hAnsi="Arial" w:cs="Arial"/>
                <w:color w:val="FFFFFF" w:themeColor="background1"/>
                <w:sz w:val="40"/>
                <w:szCs w:val="40"/>
              </w:rPr>
              <w:t>Analysis I</w:t>
            </w:r>
          </w:p>
          <w:p w:rsidR="001E47D0" w:rsidRPr="00BB020E" w:rsidRDefault="001E47D0" w:rsidP="00E91908">
            <w:pPr>
              <w:rPr>
                <w:rFonts w:ascii="Arial" w:hAnsi="Arial" w:cs="Arial"/>
                <w:color w:val="FFFFFF" w:themeColor="background1"/>
                <w:sz w:val="20"/>
                <w:szCs w:val="20"/>
              </w:rPr>
            </w:pPr>
          </w:p>
        </w:tc>
        <w:tc>
          <w:tcPr>
            <w:tcW w:w="1919" w:type="dxa"/>
            <w:vMerge/>
            <w:shd w:val="clear" w:color="auto" w:fill="3333CC"/>
          </w:tcPr>
          <w:p w:rsidR="001E47D0" w:rsidRPr="00BB020E" w:rsidRDefault="001E47D0" w:rsidP="00E91908">
            <w:pPr>
              <w:rPr>
                <w:rFonts w:ascii="Arial" w:hAnsi="Arial" w:cs="Arial"/>
                <w:color w:val="FFFFFF" w:themeColor="background1"/>
                <w:sz w:val="20"/>
                <w:szCs w:val="20"/>
              </w:rPr>
            </w:pPr>
          </w:p>
        </w:tc>
      </w:tr>
      <w:tr w:rsidR="001E47D0" w:rsidRPr="00BB020E" w:rsidTr="001E47D0">
        <w:trPr>
          <w:trHeight w:val="249"/>
        </w:trPr>
        <w:tc>
          <w:tcPr>
            <w:tcW w:w="10985" w:type="dxa"/>
            <w:gridSpan w:val="2"/>
            <w:shd w:val="clear" w:color="auto" w:fill="336600"/>
            <w:vAlign w:val="center"/>
          </w:tcPr>
          <w:p w:rsidR="001E47D0" w:rsidRPr="001E47D0" w:rsidRDefault="001E47D0" w:rsidP="00E91908">
            <w:pPr>
              <w:rPr>
                <w:rFonts w:ascii="Arial" w:hAnsi="Arial" w:cs="Arial"/>
                <w:b/>
                <w:color w:val="FFFFFF" w:themeColor="background1"/>
                <w:sz w:val="24"/>
                <w:szCs w:val="24"/>
              </w:rPr>
            </w:pPr>
            <w:r w:rsidRPr="001E47D0">
              <w:rPr>
                <w:rFonts w:ascii="Arial" w:hAnsi="Arial" w:cs="Arial"/>
                <w:b/>
                <w:color w:val="FFFFFF" w:themeColor="background1"/>
                <w:sz w:val="24"/>
                <w:szCs w:val="24"/>
              </w:rPr>
              <w:t>Comparison with other asset classes (USD)</w:t>
            </w:r>
          </w:p>
        </w:tc>
      </w:tr>
    </w:tbl>
    <w:p w:rsidR="00BA4144" w:rsidRPr="00B710D4" w:rsidRDefault="00BA4144" w:rsidP="00BA4144">
      <w:pPr>
        <w:spacing w:after="0"/>
        <w:jc w:val="center"/>
        <w:rPr>
          <w:b/>
          <w:sz w:val="10"/>
          <w:szCs w:val="10"/>
        </w:rPr>
      </w:pPr>
    </w:p>
    <w:p w:rsidR="00214936" w:rsidRDefault="00214936" w:rsidP="00214936">
      <w:pPr>
        <w:autoSpaceDE w:val="0"/>
        <w:autoSpaceDN w:val="0"/>
        <w:adjustRightInd w:val="0"/>
        <w:spacing w:after="0" w:line="240" w:lineRule="auto"/>
        <w:jc w:val="center"/>
        <w:rPr>
          <w:rFonts w:cs="Arial"/>
          <w:bCs/>
          <w:color w:val="0000CC"/>
        </w:rPr>
      </w:pPr>
      <w:r>
        <w:rPr>
          <w:noProof/>
        </w:rPr>
        <w:drawing>
          <wp:inline distT="0" distB="0" distL="0" distR="0" wp14:anchorId="1AF366D1" wp14:editId="7BB0C083">
            <wp:extent cx="6915150"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4936" w:rsidRDefault="00214936" w:rsidP="00BA4144">
      <w:pPr>
        <w:autoSpaceDE w:val="0"/>
        <w:autoSpaceDN w:val="0"/>
        <w:adjustRightInd w:val="0"/>
        <w:spacing w:after="0" w:line="240" w:lineRule="auto"/>
        <w:rPr>
          <w:rFonts w:cs="Arial"/>
          <w:bCs/>
          <w:color w:val="0000CC"/>
        </w:rPr>
      </w:pPr>
    </w:p>
    <w:p w:rsidR="00ED31BF" w:rsidRPr="006D135C" w:rsidRDefault="00AC6EE5" w:rsidP="00BA4144">
      <w:pPr>
        <w:autoSpaceDE w:val="0"/>
        <w:autoSpaceDN w:val="0"/>
        <w:adjustRightInd w:val="0"/>
        <w:spacing w:after="0" w:line="240" w:lineRule="auto"/>
        <w:rPr>
          <w:rFonts w:cs="Arial"/>
          <w:bCs/>
          <w:color w:val="0000CC"/>
        </w:rPr>
      </w:pPr>
      <w:r w:rsidRPr="006D135C">
        <w:rPr>
          <w:rFonts w:cs="Arial"/>
          <w:bCs/>
          <w:color w:val="0000CC"/>
        </w:rPr>
        <w:t xml:space="preserve">The graph above shows a comparison of </w:t>
      </w:r>
      <w:r w:rsidR="00ED76A4" w:rsidRPr="006D135C">
        <w:rPr>
          <w:rFonts w:cs="Arial"/>
          <w:bCs/>
          <w:color w:val="0000CC"/>
        </w:rPr>
        <w:t>First Federal Yin</w:t>
      </w:r>
      <w:r w:rsidR="003C4166" w:rsidRPr="006D135C">
        <w:rPr>
          <w:rFonts w:cs="Arial"/>
          <w:bCs/>
          <w:color w:val="0000CC"/>
        </w:rPr>
        <w:t xml:space="preserve"> Ltd.</w:t>
      </w:r>
      <w:r w:rsidRPr="006D135C">
        <w:rPr>
          <w:rFonts w:cs="Arial"/>
          <w:bCs/>
          <w:color w:val="0000CC"/>
        </w:rPr>
        <w:t xml:space="preserve"> (blue)</w:t>
      </w:r>
      <w:r w:rsidR="003C4166" w:rsidRPr="006D135C">
        <w:rPr>
          <w:rFonts w:cs="Arial"/>
          <w:bCs/>
          <w:color w:val="0000CC"/>
        </w:rPr>
        <w:t xml:space="preserve"> to the S&amp;P500 (</w:t>
      </w:r>
      <w:r w:rsidR="00F038C1" w:rsidRPr="006D135C">
        <w:rPr>
          <w:rFonts w:cs="Arial"/>
          <w:bCs/>
          <w:color w:val="0000CC"/>
        </w:rPr>
        <w:t>green</w:t>
      </w:r>
      <w:r w:rsidR="003C4166" w:rsidRPr="006D135C">
        <w:rPr>
          <w:rFonts w:cs="Arial"/>
          <w:bCs/>
          <w:color w:val="0000CC"/>
        </w:rPr>
        <w:t xml:space="preserve">) since the start of </w:t>
      </w:r>
      <w:r w:rsidR="00ED76A4" w:rsidRPr="006D135C">
        <w:rPr>
          <w:rFonts w:cs="Arial"/>
          <w:bCs/>
          <w:color w:val="0000CC"/>
        </w:rPr>
        <w:t>First Federal Yin</w:t>
      </w:r>
      <w:r w:rsidR="00631BED" w:rsidRPr="006D135C">
        <w:rPr>
          <w:rFonts w:cs="Arial"/>
          <w:bCs/>
          <w:color w:val="0000CC"/>
        </w:rPr>
        <w:t xml:space="preserve"> Ltd.</w:t>
      </w:r>
      <w:r w:rsidR="003C4166" w:rsidRPr="006D135C">
        <w:rPr>
          <w:rFonts w:cs="Arial"/>
          <w:bCs/>
          <w:color w:val="0000CC"/>
        </w:rPr>
        <w:t xml:space="preserve"> in 199</w:t>
      </w:r>
      <w:r w:rsidR="00214936">
        <w:rPr>
          <w:rFonts w:cs="Arial"/>
          <w:bCs/>
          <w:color w:val="0000CC"/>
        </w:rPr>
        <w:t>9</w:t>
      </w:r>
      <w:r w:rsidR="003C4166" w:rsidRPr="006D135C">
        <w:rPr>
          <w:rFonts w:cs="Arial"/>
          <w:bCs/>
          <w:color w:val="0000CC"/>
        </w:rPr>
        <w:t xml:space="preserve">.  Additionally the chart shows the </w:t>
      </w:r>
      <w:r w:rsidRPr="006D135C">
        <w:rPr>
          <w:rFonts w:cs="Arial"/>
          <w:bCs/>
          <w:color w:val="0000CC"/>
        </w:rPr>
        <w:t xml:space="preserve">calculated effect of </w:t>
      </w:r>
      <w:r w:rsidR="003C4166" w:rsidRPr="006D135C">
        <w:rPr>
          <w:rFonts w:cs="Arial"/>
          <w:bCs/>
          <w:color w:val="0000CC"/>
        </w:rPr>
        <w:t xml:space="preserve">3X </w:t>
      </w:r>
      <w:r w:rsidR="00AF7475" w:rsidRPr="006D135C">
        <w:rPr>
          <w:rFonts w:cs="Arial"/>
          <w:bCs/>
          <w:color w:val="0000CC"/>
        </w:rPr>
        <w:t>Leverage</w:t>
      </w:r>
      <w:r w:rsidRPr="006D135C">
        <w:rPr>
          <w:rFonts w:cs="Arial"/>
          <w:bCs/>
          <w:color w:val="0000CC"/>
        </w:rPr>
        <w:t xml:space="preserve"> over time</w:t>
      </w:r>
      <w:r w:rsidR="00F038C1" w:rsidRPr="006D135C">
        <w:rPr>
          <w:rFonts w:cs="Arial"/>
          <w:bCs/>
          <w:color w:val="0000CC"/>
        </w:rPr>
        <w:t xml:space="preserve"> (red)</w:t>
      </w:r>
      <w:r w:rsidRPr="006D135C">
        <w:rPr>
          <w:rFonts w:cs="Arial"/>
          <w:bCs/>
          <w:color w:val="0000CC"/>
        </w:rPr>
        <w:t xml:space="preserve">, compared to </w:t>
      </w:r>
      <w:r w:rsidR="00ED76A4" w:rsidRPr="006D135C">
        <w:rPr>
          <w:rFonts w:cs="Arial"/>
          <w:bCs/>
          <w:color w:val="0000CC"/>
        </w:rPr>
        <w:t>First Federal Yin</w:t>
      </w:r>
      <w:r w:rsidRPr="006D135C">
        <w:rPr>
          <w:rFonts w:cs="Arial"/>
          <w:bCs/>
          <w:color w:val="0000CC"/>
        </w:rPr>
        <w:t xml:space="preserve"> </w:t>
      </w:r>
      <w:r w:rsidR="00631BED" w:rsidRPr="006D135C">
        <w:rPr>
          <w:rFonts w:cs="Arial"/>
          <w:bCs/>
          <w:color w:val="0000CC"/>
        </w:rPr>
        <w:t xml:space="preserve">Ltd. </w:t>
      </w:r>
      <w:r w:rsidRPr="006D135C">
        <w:rPr>
          <w:rFonts w:cs="Arial"/>
          <w:bCs/>
          <w:color w:val="0000CC"/>
        </w:rPr>
        <w:t>without leverage (1x).</w:t>
      </w:r>
    </w:p>
    <w:p w:rsidR="00B710D4" w:rsidRDefault="00B710D4" w:rsidP="00BA4144">
      <w:pPr>
        <w:autoSpaceDE w:val="0"/>
        <w:autoSpaceDN w:val="0"/>
        <w:adjustRightInd w:val="0"/>
        <w:spacing w:after="0" w:line="240" w:lineRule="auto"/>
        <w:rPr>
          <w:rFonts w:cs="Arial"/>
          <w:b/>
          <w:bCs/>
          <w:color w:val="0F243E" w:themeColor="text2" w:themeShade="80"/>
        </w:rPr>
      </w:pPr>
    </w:p>
    <w:p w:rsidR="00B710D4" w:rsidRDefault="00B710D4" w:rsidP="00BA4144">
      <w:pPr>
        <w:autoSpaceDE w:val="0"/>
        <w:autoSpaceDN w:val="0"/>
        <w:adjustRightInd w:val="0"/>
        <w:spacing w:after="0" w:line="240" w:lineRule="auto"/>
        <w:rPr>
          <w:rFonts w:cs="Arial"/>
          <w:b/>
          <w:bCs/>
          <w:color w:val="0F243E" w:themeColor="text2" w:themeShade="80"/>
        </w:rPr>
      </w:pPr>
    </w:p>
    <w:tbl>
      <w:tblPr>
        <w:tblStyle w:val="TableGrid"/>
        <w:tblW w:w="0" w:type="auto"/>
        <w:tblLook w:val="04A0" w:firstRow="1" w:lastRow="0" w:firstColumn="1" w:lastColumn="0" w:noHBand="0" w:noVBand="1"/>
      </w:tblPr>
      <w:tblGrid>
        <w:gridCol w:w="4886"/>
        <w:gridCol w:w="5904"/>
      </w:tblGrid>
      <w:tr w:rsidR="00BA4144" w:rsidTr="00FE10A2">
        <w:tc>
          <w:tcPr>
            <w:tcW w:w="10790" w:type="dxa"/>
            <w:gridSpan w:val="2"/>
            <w:tcBorders>
              <w:bottom w:val="nil"/>
            </w:tcBorders>
            <w:shd w:val="clear" w:color="auto" w:fill="336600"/>
          </w:tcPr>
          <w:p w:rsidR="00BA4144" w:rsidRPr="001E47D0" w:rsidRDefault="00BA62ED" w:rsidP="0040091B">
            <w:pPr>
              <w:rPr>
                <w:rFonts w:cstheme="minorHAnsi"/>
                <w:b/>
                <w:color w:val="336600"/>
                <w:sz w:val="24"/>
                <w:szCs w:val="24"/>
              </w:rPr>
            </w:pPr>
            <w:r>
              <w:rPr>
                <w:rFonts w:cs="Arial"/>
                <w:b/>
                <w:bCs/>
                <w:color w:val="0F243E" w:themeColor="text2" w:themeShade="80"/>
              </w:rPr>
              <w:br w:type="page"/>
            </w:r>
            <w:r w:rsidR="00B710D4">
              <w:rPr>
                <w:rFonts w:cstheme="minorHAnsi"/>
                <w:b/>
                <w:color w:val="FFFFFF" w:themeColor="background1"/>
                <w:sz w:val="24"/>
                <w:szCs w:val="24"/>
              </w:rPr>
              <w:t>Chart &amp; Return - Comparison</w:t>
            </w:r>
          </w:p>
        </w:tc>
      </w:tr>
      <w:tr w:rsidR="00FE10A2" w:rsidTr="00214936">
        <w:trPr>
          <w:trHeight w:val="3950"/>
        </w:trPr>
        <w:tc>
          <w:tcPr>
            <w:tcW w:w="4972" w:type="dxa"/>
            <w:shd w:val="clear" w:color="auto" w:fill="FFFFFF" w:themeFill="background1"/>
          </w:tcPr>
          <w:p w:rsidR="00E91908" w:rsidRDefault="00FE10A2" w:rsidP="00B710D4">
            <w:pPr>
              <w:autoSpaceDE w:val="0"/>
              <w:autoSpaceDN w:val="0"/>
              <w:adjustRightInd w:val="0"/>
              <w:rPr>
                <w:rFonts w:cs="Arial"/>
                <w:b/>
                <w:bCs/>
                <w:color w:val="0000CC"/>
              </w:rPr>
            </w:pPr>
            <w:r>
              <w:rPr>
                <w:noProof/>
              </w:rPr>
              <w:drawing>
                <wp:inline distT="0" distB="0" distL="0" distR="0" wp14:anchorId="1245AA96" wp14:editId="4EDB77BF">
                  <wp:extent cx="3057525" cy="24479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818" w:type="dxa"/>
            <w:shd w:val="clear" w:color="auto" w:fill="FFFFFF" w:themeFill="background1"/>
          </w:tcPr>
          <w:p w:rsidR="00E91908" w:rsidRDefault="00355F0B" w:rsidP="00B710D4">
            <w:pPr>
              <w:autoSpaceDE w:val="0"/>
              <w:autoSpaceDN w:val="0"/>
              <w:adjustRightInd w:val="0"/>
              <w:rPr>
                <w:rFonts w:cs="Arial"/>
                <w:b/>
                <w:bCs/>
                <w:color w:val="0000CC"/>
              </w:rPr>
            </w:pPr>
            <w:r>
              <w:rPr>
                <w:noProof/>
              </w:rPr>
              <w:drawing>
                <wp:inline distT="0" distB="0" distL="0" distR="0" wp14:anchorId="3C55A1EF" wp14:editId="68B2F2C0">
                  <wp:extent cx="3724275" cy="23717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E91908" w:rsidRDefault="00E91908" w:rsidP="00B710D4">
      <w:pPr>
        <w:autoSpaceDE w:val="0"/>
        <w:autoSpaceDN w:val="0"/>
        <w:adjustRightInd w:val="0"/>
        <w:spacing w:after="0" w:line="240" w:lineRule="auto"/>
        <w:rPr>
          <w:rFonts w:cs="Arial"/>
          <w:b/>
          <w:bCs/>
          <w:color w:val="0000CC"/>
        </w:rPr>
      </w:pPr>
    </w:p>
    <w:p w:rsidR="00FE10A2" w:rsidRDefault="00B710D4" w:rsidP="00282E79">
      <w:pPr>
        <w:autoSpaceDE w:val="0"/>
        <w:autoSpaceDN w:val="0"/>
        <w:adjustRightInd w:val="0"/>
        <w:spacing w:after="0" w:line="240" w:lineRule="auto"/>
        <w:rPr>
          <w:rFonts w:cs="Arial"/>
          <w:bCs/>
          <w:color w:val="0000CC"/>
        </w:rPr>
      </w:pPr>
      <w:r w:rsidRPr="006D135C">
        <w:rPr>
          <w:rFonts w:cs="Arial"/>
          <w:bCs/>
          <w:color w:val="0000CC"/>
        </w:rPr>
        <w:t xml:space="preserve">The charts above show on the one hand the excellent risk/return ratio of </w:t>
      </w:r>
      <w:r w:rsidR="00ED76A4" w:rsidRPr="006D135C">
        <w:rPr>
          <w:rFonts w:cs="Arial"/>
          <w:bCs/>
          <w:color w:val="0000CC"/>
        </w:rPr>
        <w:t>First Federal Yin</w:t>
      </w:r>
      <w:r w:rsidRPr="006D135C">
        <w:rPr>
          <w:rFonts w:cs="Arial"/>
          <w:bCs/>
          <w:color w:val="0000CC"/>
        </w:rPr>
        <w:t xml:space="preserve"> Fund compared to well-established</w:t>
      </w:r>
      <w:r w:rsidR="00AD7869" w:rsidRPr="006D135C">
        <w:rPr>
          <w:rFonts w:cs="Arial"/>
          <w:bCs/>
          <w:color w:val="0000CC"/>
        </w:rPr>
        <w:t xml:space="preserve"> bond and</w:t>
      </w:r>
      <w:r w:rsidRPr="006D135C">
        <w:rPr>
          <w:rFonts w:cs="Arial"/>
          <w:bCs/>
          <w:color w:val="0000CC"/>
        </w:rPr>
        <w:t xml:space="preserve"> equity ind</w:t>
      </w:r>
      <w:r w:rsidR="00AD7869" w:rsidRPr="006D135C">
        <w:rPr>
          <w:rFonts w:cs="Arial"/>
          <w:bCs/>
          <w:color w:val="0000CC"/>
        </w:rPr>
        <w:t>ices</w:t>
      </w:r>
      <w:r w:rsidRPr="006D135C">
        <w:rPr>
          <w:rFonts w:cs="Arial"/>
          <w:bCs/>
          <w:color w:val="0000CC"/>
        </w:rPr>
        <w:t>, plus the attractive distribution profile of monthly returns.</w:t>
      </w:r>
    </w:p>
    <w:p w:rsidR="00FE10A2" w:rsidRDefault="00FE10A2">
      <w:pPr>
        <w:rPr>
          <w:rFonts w:cs="Arial"/>
          <w:bCs/>
          <w:color w:val="0000CC"/>
        </w:rPr>
      </w:pPr>
      <w:r>
        <w:rPr>
          <w:rFonts w:cs="Arial"/>
          <w:bCs/>
          <w:color w:val="0000CC"/>
        </w:rPr>
        <w:br w:type="page"/>
      </w:r>
    </w:p>
    <w:tbl>
      <w:tblPr>
        <w:tblStyle w:val="TableGrid"/>
        <w:tblW w:w="10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066"/>
        <w:gridCol w:w="1919"/>
      </w:tblGrid>
      <w:tr w:rsidR="001E47D0" w:rsidRPr="00BB020E" w:rsidTr="00E91908">
        <w:trPr>
          <w:trHeight w:val="477"/>
        </w:trPr>
        <w:tc>
          <w:tcPr>
            <w:tcW w:w="9066" w:type="dxa"/>
            <w:shd w:val="clear" w:color="auto" w:fill="0000CC"/>
            <w:vAlign w:val="center"/>
          </w:tcPr>
          <w:p w:rsidR="001E47D0" w:rsidRPr="00BB020E" w:rsidRDefault="001E47D0" w:rsidP="00E91908">
            <w:pPr>
              <w:rPr>
                <w:rFonts w:ascii="Verdana" w:hAnsi="Verdana" w:cs="Lucida Sans Unicode"/>
                <w:b/>
                <w:color w:val="FFFFFF" w:themeColor="background1"/>
                <w:sz w:val="20"/>
                <w:szCs w:val="20"/>
              </w:rPr>
            </w:pPr>
          </w:p>
          <w:p w:rsidR="001E47D0" w:rsidRPr="00BB020E" w:rsidRDefault="001E47D0" w:rsidP="00E91908">
            <w:pPr>
              <w:rPr>
                <w:rFonts w:ascii="Verdana" w:hAnsi="Verdana" w:cs="Lucida Sans Unicode"/>
                <w:b/>
                <w:color w:val="FFFFFF" w:themeColor="background1"/>
                <w:sz w:val="44"/>
                <w:szCs w:val="44"/>
              </w:rPr>
            </w:pPr>
            <w:r w:rsidRPr="00BB020E">
              <w:rPr>
                <w:rFonts w:ascii="Verdana" w:hAnsi="Verdana" w:cs="Lucida Sans Unicode"/>
                <w:b/>
                <w:color w:val="FFFFFF" w:themeColor="background1"/>
                <w:sz w:val="44"/>
                <w:szCs w:val="44"/>
              </w:rPr>
              <w:t>First Federal Yin Ltd.</w:t>
            </w:r>
          </w:p>
        </w:tc>
        <w:tc>
          <w:tcPr>
            <w:tcW w:w="1919" w:type="dxa"/>
            <w:vMerge w:val="restart"/>
            <w:shd w:val="clear" w:color="auto" w:fill="0000CC"/>
            <w:vAlign w:val="bottom"/>
          </w:tcPr>
          <w:p w:rsidR="001E47D0" w:rsidRPr="00BB020E" w:rsidRDefault="001E47D0" w:rsidP="00E91908">
            <w:pPr>
              <w:jc w:val="center"/>
              <w:rPr>
                <w:rFonts w:ascii="Colonna MT" w:hAnsi="Colonna MT" w:cs="Lucida Sans Unicode"/>
                <w:color w:val="FFFFFF" w:themeColor="background1"/>
                <w:sz w:val="88"/>
                <w:szCs w:val="88"/>
              </w:rPr>
            </w:pPr>
            <w:r w:rsidRPr="00BB020E">
              <w:rPr>
                <w:rFonts w:ascii="Colonna MT" w:hAnsi="Colonna MT" w:cs="Lucida Sans Unicode"/>
                <w:color w:val="FFFFFF" w:themeColor="background1"/>
                <w:sz w:val="88"/>
                <w:szCs w:val="88"/>
              </w:rPr>
              <w:t>PNB</w:t>
            </w:r>
          </w:p>
          <w:p w:rsidR="001E47D0" w:rsidRDefault="001E47D0" w:rsidP="00E91908">
            <w:pPr>
              <w:jc w:val="center"/>
              <w:rPr>
                <w:rFonts w:ascii="Arial" w:hAnsi="Arial" w:cs="Arial"/>
                <w:color w:val="FFFFFF" w:themeColor="background1"/>
                <w:sz w:val="20"/>
                <w:szCs w:val="20"/>
              </w:rPr>
            </w:pPr>
            <w:r w:rsidRPr="006D135C">
              <w:rPr>
                <w:rFonts w:ascii="Arial" w:hAnsi="Arial" w:cs="Arial"/>
                <w:color w:val="FFFFFF" w:themeColor="background1"/>
                <w:sz w:val="20"/>
                <w:szCs w:val="20"/>
              </w:rPr>
              <w:t>Pure Native Bank</w:t>
            </w:r>
          </w:p>
          <w:p w:rsidR="001E47D0" w:rsidRDefault="001E47D0" w:rsidP="00E91908">
            <w:pPr>
              <w:jc w:val="center"/>
              <w:rPr>
                <w:rFonts w:ascii="Arial" w:hAnsi="Arial" w:cs="Arial"/>
                <w:color w:val="FFFFFF" w:themeColor="background1"/>
                <w:sz w:val="20"/>
                <w:szCs w:val="20"/>
              </w:rPr>
            </w:pPr>
          </w:p>
          <w:p w:rsidR="001E47D0" w:rsidRDefault="001E47D0" w:rsidP="00E91908">
            <w:pPr>
              <w:rPr>
                <w:rFonts w:ascii="Colonna MT" w:hAnsi="Colonna MT" w:cs="Lucida Sans Unicode"/>
                <w:color w:val="FFFFFF" w:themeColor="background1"/>
                <w:sz w:val="20"/>
                <w:szCs w:val="20"/>
              </w:rPr>
            </w:pPr>
          </w:p>
          <w:p w:rsidR="001E47D0" w:rsidRPr="00BB020E" w:rsidRDefault="001E47D0" w:rsidP="00E91908">
            <w:pPr>
              <w:jc w:val="center"/>
              <w:rPr>
                <w:rFonts w:ascii="Colonna MT" w:hAnsi="Colonna MT" w:cs="Lucida Sans Unicode"/>
                <w:color w:val="FFFFFF" w:themeColor="background1"/>
                <w:sz w:val="20"/>
                <w:szCs w:val="20"/>
              </w:rPr>
            </w:pPr>
          </w:p>
        </w:tc>
      </w:tr>
      <w:tr w:rsidR="001E47D0" w:rsidRPr="006D135C" w:rsidTr="00E91908">
        <w:trPr>
          <w:trHeight w:val="468"/>
        </w:trPr>
        <w:tc>
          <w:tcPr>
            <w:tcW w:w="9066" w:type="dxa"/>
            <w:shd w:val="clear" w:color="auto" w:fill="0000CC"/>
            <w:vAlign w:val="center"/>
          </w:tcPr>
          <w:p w:rsidR="001E47D0" w:rsidRPr="00BB020E" w:rsidRDefault="001E47D0" w:rsidP="00E91908">
            <w:pPr>
              <w:rPr>
                <w:rFonts w:ascii="Arial" w:hAnsi="Arial" w:cs="Arial"/>
                <w:color w:val="FFFFFF" w:themeColor="background1"/>
                <w:sz w:val="40"/>
                <w:szCs w:val="40"/>
              </w:rPr>
            </w:pPr>
          </w:p>
        </w:tc>
        <w:tc>
          <w:tcPr>
            <w:tcW w:w="1919" w:type="dxa"/>
            <w:vMerge/>
            <w:shd w:val="clear" w:color="auto" w:fill="0000CC"/>
          </w:tcPr>
          <w:p w:rsidR="001E47D0" w:rsidRPr="006D135C" w:rsidRDefault="001E47D0" w:rsidP="00E91908">
            <w:pPr>
              <w:jc w:val="center"/>
              <w:rPr>
                <w:rFonts w:ascii="Colonna MT" w:hAnsi="Colonna MT" w:cs="Lucida Sans Unicode"/>
                <w:color w:val="FFFFFF" w:themeColor="background1"/>
                <w:sz w:val="80"/>
                <w:szCs w:val="80"/>
              </w:rPr>
            </w:pPr>
          </w:p>
        </w:tc>
      </w:tr>
      <w:tr w:rsidR="001E47D0" w:rsidRPr="00BB020E" w:rsidTr="00E91908">
        <w:trPr>
          <w:trHeight w:val="249"/>
        </w:trPr>
        <w:tc>
          <w:tcPr>
            <w:tcW w:w="9066" w:type="dxa"/>
            <w:shd w:val="clear" w:color="auto" w:fill="0000CC"/>
            <w:vAlign w:val="center"/>
          </w:tcPr>
          <w:p w:rsidR="001E47D0" w:rsidRDefault="001E47D0" w:rsidP="00E91908">
            <w:pPr>
              <w:rPr>
                <w:rFonts w:ascii="Arial" w:hAnsi="Arial" w:cs="Arial"/>
                <w:color w:val="FFFFFF" w:themeColor="background1"/>
                <w:sz w:val="40"/>
                <w:szCs w:val="40"/>
              </w:rPr>
            </w:pPr>
            <w:r>
              <w:rPr>
                <w:rFonts w:ascii="Arial" w:hAnsi="Arial" w:cs="Arial"/>
                <w:color w:val="FFFFFF" w:themeColor="background1"/>
                <w:sz w:val="40"/>
                <w:szCs w:val="40"/>
              </w:rPr>
              <w:t>Analysis II</w:t>
            </w:r>
          </w:p>
          <w:p w:rsidR="001E47D0" w:rsidRPr="00BB020E" w:rsidRDefault="001E47D0" w:rsidP="00E91908">
            <w:pPr>
              <w:rPr>
                <w:rFonts w:ascii="Arial" w:hAnsi="Arial" w:cs="Arial"/>
                <w:color w:val="FFFFFF" w:themeColor="background1"/>
                <w:sz w:val="20"/>
                <w:szCs w:val="20"/>
              </w:rPr>
            </w:pPr>
          </w:p>
        </w:tc>
        <w:tc>
          <w:tcPr>
            <w:tcW w:w="1919" w:type="dxa"/>
            <w:vMerge/>
            <w:shd w:val="clear" w:color="auto" w:fill="3333CC"/>
          </w:tcPr>
          <w:p w:rsidR="001E47D0" w:rsidRPr="00BB020E" w:rsidRDefault="001E47D0" w:rsidP="00E91908">
            <w:pPr>
              <w:rPr>
                <w:rFonts w:ascii="Arial" w:hAnsi="Arial" w:cs="Arial"/>
                <w:color w:val="FFFFFF" w:themeColor="background1"/>
                <w:sz w:val="20"/>
                <w:szCs w:val="20"/>
              </w:rPr>
            </w:pPr>
          </w:p>
        </w:tc>
      </w:tr>
    </w:tbl>
    <w:p w:rsidR="001E47D0" w:rsidRDefault="001E47D0" w:rsidP="00282E79">
      <w:pPr>
        <w:autoSpaceDE w:val="0"/>
        <w:autoSpaceDN w:val="0"/>
        <w:adjustRightInd w:val="0"/>
        <w:spacing w:after="0" w:line="240" w:lineRule="auto"/>
        <w:rPr>
          <w:rFonts w:cstheme="minorHAnsi"/>
          <w:b/>
          <w:bCs/>
          <w:color w:val="0000CC"/>
        </w:rPr>
      </w:pPr>
    </w:p>
    <w:p w:rsidR="00282E79" w:rsidRPr="00214936" w:rsidRDefault="00282E79" w:rsidP="00214936">
      <w:pPr>
        <w:autoSpaceDE w:val="0"/>
        <w:autoSpaceDN w:val="0"/>
        <w:adjustRightInd w:val="0"/>
        <w:spacing w:after="0" w:line="240" w:lineRule="auto"/>
        <w:rPr>
          <w:rFonts w:cstheme="minorHAnsi"/>
          <w:bCs/>
          <w:color w:val="0000CC"/>
        </w:rPr>
      </w:pPr>
      <w:r w:rsidRPr="0059173B">
        <w:rPr>
          <w:rFonts w:cstheme="minorHAnsi"/>
          <w:b/>
          <w:bCs/>
          <w:color w:val="0000CC"/>
        </w:rPr>
        <w:t>T</w:t>
      </w:r>
      <w:r w:rsidRPr="00214936">
        <w:rPr>
          <w:rFonts w:cstheme="minorHAnsi"/>
          <w:bCs/>
          <w:color w:val="0000CC"/>
        </w:rPr>
        <w:t xml:space="preserve">he following analysis compares the compounded return of </w:t>
      </w:r>
      <w:r w:rsidR="00ED76A4" w:rsidRPr="00214936">
        <w:rPr>
          <w:rFonts w:cstheme="minorHAnsi"/>
          <w:bCs/>
          <w:color w:val="0000CC"/>
        </w:rPr>
        <w:t>First Federal Yin</w:t>
      </w:r>
      <w:r w:rsidRPr="00214936">
        <w:rPr>
          <w:rFonts w:cstheme="minorHAnsi"/>
          <w:bCs/>
          <w:color w:val="0000CC"/>
        </w:rPr>
        <w:t xml:space="preserve"> Fund to the compounded return of 10-year Treasury bonds.  The return profile has remained remarkably consistent when measured against risk-free rates.</w:t>
      </w:r>
      <w:r w:rsidR="00214936">
        <w:rPr>
          <w:rFonts w:cstheme="minorHAnsi"/>
          <w:bCs/>
          <w:color w:val="0000CC"/>
        </w:rPr>
        <w:t xml:space="preserve">  Although absolute returns have indeed fallen in recent years, the return profile has remained remarkably consistent when measured against short-term interest rates.</w:t>
      </w:r>
    </w:p>
    <w:p w:rsidR="00282E79" w:rsidRPr="00282E79" w:rsidRDefault="00282E79" w:rsidP="00282E79">
      <w:pPr>
        <w:autoSpaceDE w:val="0"/>
        <w:autoSpaceDN w:val="0"/>
        <w:adjustRightInd w:val="0"/>
        <w:spacing w:after="0" w:line="240" w:lineRule="auto"/>
        <w:rPr>
          <w:rFonts w:cstheme="minorHAnsi"/>
          <w:sz w:val="21"/>
          <w:szCs w:val="21"/>
        </w:rPr>
      </w:pPr>
    </w:p>
    <w:tbl>
      <w:tblPr>
        <w:tblStyle w:val="TableGrid"/>
        <w:tblW w:w="10903" w:type="dxa"/>
        <w:tblLook w:val="04A0" w:firstRow="1" w:lastRow="0" w:firstColumn="1" w:lastColumn="0" w:noHBand="0" w:noVBand="1"/>
      </w:tblPr>
      <w:tblGrid>
        <w:gridCol w:w="4956"/>
        <w:gridCol w:w="1155"/>
        <w:gridCol w:w="980"/>
        <w:gridCol w:w="962"/>
        <w:gridCol w:w="1401"/>
        <w:gridCol w:w="1401"/>
        <w:gridCol w:w="48"/>
      </w:tblGrid>
      <w:tr w:rsidR="001E47D0" w:rsidTr="001E47D0">
        <w:trPr>
          <w:trHeight w:val="20"/>
        </w:trPr>
        <w:tc>
          <w:tcPr>
            <w:tcW w:w="4927" w:type="dxa"/>
            <w:vMerge w:val="restart"/>
            <w:shd w:val="clear" w:color="auto" w:fill="FFFFFF" w:themeFill="background1"/>
          </w:tcPr>
          <w:p w:rsidR="00473F0F" w:rsidRPr="00282E79" w:rsidRDefault="00473F0F" w:rsidP="00CD6260">
            <w:pPr>
              <w:autoSpaceDE w:val="0"/>
              <w:autoSpaceDN w:val="0"/>
              <w:adjustRightInd w:val="0"/>
              <w:rPr>
                <w:rFonts w:cs="Arial"/>
                <w:b/>
                <w:bCs/>
                <w:color w:val="0F243E" w:themeColor="text2" w:themeShade="80"/>
                <w:sz w:val="12"/>
                <w:szCs w:val="12"/>
              </w:rPr>
            </w:pPr>
          </w:p>
          <w:p w:rsidR="00473F0F" w:rsidRDefault="001E47D0" w:rsidP="00CD6260">
            <w:pPr>
              <w:autoSpaceDE w:val="0"/>
              <w:autoSpaceDN w:val="0"/>
              <w:adjustRightInd w:val="0"/>
              <w:rPr>
                <w:rFonts w:cs="Arial"/>
                <w:b/>
                <w:bCs/>
                <w:color w:val="0F243E" w:themeColor="text2" w:themeShade="80"/>
                <w:sz w:val="21"/>
                <w:szCs w:val="21"/>
              </w:rPr>
            </w:pPr>
            <w:r>
              <w:rPr>
                <w:noProof/>
              </w:rPr>
              <w:drawing>
                <wp:inline distT="0" distB="0" distL="0" distR="0" wp14:anchorId="74CEF95D" wp14:editId="3E47D59B">
                  <wp:extent cx="3000375" cy="1958340"/>
                  <wp:effectExtent l="0" t="0" r="952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1163" w:type="dxa"/>
            <w:shd w:val="clear" w:color="auto" w:fill="336600"/>
            <w:vAlign w:val="bottom"/>
          </w:tcPr>
          <w:p w:rsidR="00473F0F" w:rsidRPr="0000226E" w:rsidRDefault="00473F0F" w:rsidP="00BA7D8E">
            <w:pPr>
              <w:jc w:val="center"/>
              <w:rPr>
                <w:rFonts w:ascii="Calibri" w:hAnsi="Calibri" w:cs="Calibri"/>
                <w:b/>
                <w:color w:val="FFFFFF" w:themeColor="background1"/>
                <w:sz w:val="20"/>
                <w:szCs w:val="20"/>
              </w:rPr>
            </w:pPr>
            <w:r w:rsidRPr="0000226E">
              <w:rPr>
                <w:rFonts w:ascii="Calibri" w:hAnsi="Calibri" w:cs="Calibri"/>
                <w:b/>
                <w:color w:val="FFFFFF" w:themeColor="background1"/>
                <w:sz w:val="20"/>
                <w:szCs w:val="20"/>
              </w:rPr>
              <w:t>Year</w:t>
            </w:r>
          </w:p>
        </w:tc>
        <w:tc>
          <w:tcPr>
            <w:tcW w:w="981" w:type="dxa"/>
            <w:shd w:val="clear" w:color="auto" w:fill="336600"/>
            <w:vAlign w:val="bottom"/>
          </w:tcPr>
          <w:p w:rsidR="00473F0F" w:rsidRPr="0000226E" w:rsidRDefault="001E47D0" w:rsidP="00473F0F">
            <w:pPr>
              <w:jc w:val="center"/>
              <w:rPr>
                <w:rFonts w:ascii="Calibri" w:hAnsi="Calibri" w:cs="Calibri"/>
                <w:b/>
                <w:color w:val="FFFFFF" w:themeColor="background1"/>
                <w:sz w:val="20"/>
                <w:szCs w:val="20"/>
              </w:rPr>
            </w:pPr>
            <w:r>
              <w:rPr>
                <w:rFonts w:ascii="Calibri" w:hAnsi="Calibri" w:cs="Calibri"/>
                <w:b/>
                <w:color w:val="FFFFFF" w:themeColor="background1"/>
                <w:sz w:val="20"/>
                <w:szCs w:val="20"/>
              </w:rPr>
              <w:t>FFY</w:t>
            </w:r>
          </w:p>
        </w:tc>
        <w:tc>
          <w:tcPr>
            <w:tcW w:w="965" w:type="dxa"/>
            <w:shd w:val="clear" w:color="auto" w:fill="336600"/>
            <w:vAlign w:val="bottom"/>
          </w:tcPr>
          <w:p w:rsidR="00473F0F" w:rsidRDefault="00473F0F" w:rsidP="00473F0F">
            <w:pPr>
              <w:jc w:val="center"/>
              <w:rPr>
                <w:rFonts w:ascii="Calibri" w:hAnsi="Calibri" w:cs="Calibri"/>
                <w:b/>
                <w:color w:val="FFFFFF" w:themeColor="background1"/>
                <w:sz w:val="20"/>
                <w:szCs w:val="20"/>
              </w:rPr>
            </w:pPr>
            <w:r>
              <w:rPr>
                <w:rFonts w:ascii="Calibri" w:hAnsi="Calibri" w:cs="Calibri"/>
                <w:b/>
                <w:color w:val="FFFFFF" w:themeColor="background1"/>
                <w:sz w:val="20"/>
                <w:szCs w:val="20"/>
              </w:rPr>
              <w:t>10-year</w:t>
            </w:r>
          </w:p>
          <w:p w:rsidR="00473F0F" w:rsidRPr="0000226E" w:rsidRDefault="00473F0F" w:rsidP="00473F0F">
            <w:pPr>
              <w:jc w:val="center"/>
              <w:rPr>
                <w:rFonts w:ascii="Calibri" w:hAnsi="Calibri" w:cs="Calibri"/>
                <w:b/>
                <w:color w:val="FFFFFF" w:themeColor="background1"/>
                <w:sz w:val="20"/>
                <w:szCs w:val="20"/>
              </w:rPr>
            </w:pPr>
            <w:r>
              <w:rPr>
                <w:rFonts w:ascii="Calibri" w:hAnsi="Calibri" w:cs="Calibri"/>
                <w:b/>
                <w:color w:val="FFFFFF" w:themeColor="background1"/>
                <w:sz w:val="20"/>
                <w:szCs w:val="20"/>
              </w:rPr>
              <w:t>T-note</w:t>
            </w:r>
          </w:p>
        </w:tc>
        <w:tc>
          <w:tcPr>
            <w:tcW w:w="1409" w:type="dxa"/>
            <w:shd w:val="clear" w:color="auto" w:fill="336600"/>
            <w:vAlign w:val="bottom"/>
          </w:tcPr>
          <w:p w:rsidR="00473F0F" w:rsidRPr="0000226E" w:rsidRDefault="001E47D0" w:rsidP="00473F0F">
            <w:pPr>
              <w:jc w:val="center"/>
              <w:rPr>
                <w:rFonts w:ascii="Calibri" w:hAnsi="Calibri" w:cs="Calibri"/>
                <w:b/>
                <w:color w:val="FFFFFF" w:themeColor="background1"/>
                <w:sz w:val="20"/>
                <w:szCs w:val="20"/>
              </w:rPr>
            </w:pPr>
            <w:r>
              <w:rPr>
                <w:rFonts w:ascii="Calibri" w:hAnsi="Calibri" w:cs="Calibri"/>
                <w:b/>
                <w:color w:val="FFFFFF" w:themeColor="background1"/>
                <w:sz w:val="20"/>
                <w:szCs w:val="20"/>
              </w:rPr>
              <w:t>FFY</w:t>
            </w:r>
            <w:r w:rsidR="00473F0F">
              <w:rPr>
                <w:rFonts w:ascii="Calibri" w:hAnsi="Calibri" w:cs="Calibri"/>
                <w:b/>
                <w:color w:val="FFFFFF" w:themeColor="background1"/>
                <w:sz w:val="20"/>
                <w:szCs w:val="20"/>
              </w:rPr>
              <w:t xml:space="preserve"> Spread over T-note</w:t>
            </w:r>
          </w:p>
        </w:tc>
        <w:tc>
          <w:tcPr>
            <w:tcW w:w="1458" w:type="dxa"/>
            <w:gridSpan w:val="2"/>
            <w:shd w:val="clear" w:color="auto" w:fill="336600"/>
          </w:tcPr>
          <w:p w:rsidR="00473F0F" w:rsidRDefault="00473F0F" w:rsidP="00473F0F">
            <w:pPr>
              <w:jc w:val="center"/>
              <w:rPr>
                <w:rFonts w:ascii="Calibri" w:hAnsi="Calibri" w:cs="Calibri"/>
                <w:b/>
                <w:color w:val="FFFFFF" w:themeColor="background1"/>
                <w:sz w:val="20"/>
                <w:szCs w:val="20"/>
              </w:rPr>
            </w:pPr>
            <w:r>
              <w:rPr>
                <w:rFonts w:ascii="Calibri" w:hAnsi="Calibri" w:cs="Calibri"/>
                <w:b/>
                <w:color w:val="FFFFFF" w:themeColor="background1"/>
                <w:sz w:val="20"/>
                <w:szCs w:val="20"/>
              </w:rPr>
              <w:t>Spread ratio</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2007</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12.25%</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5.91%</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6.34%</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2.07</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2008</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7.56%</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5.33%</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2.23%</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1.42</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2009</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12.81%</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5.39%</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7.42%</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2.37</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2010</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14.43%</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5.21%</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9.22%</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2.77</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2011</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7.82%</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5.23%</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2.60%</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1.50</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2012</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12.48%</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5.64%</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6.83%</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2.21</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2013</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10.79%</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5.91%</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4.88%</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1.83</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2014</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11.04%</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5.15%</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5.89%</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2.14</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2015</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8.08%</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6.01%</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2.07%</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1.34</w:t>
            </w:r>
          </w:p>
        </w:tc>
      </w:tr>
      <w:tr w:rsidR="001E47D0" w:rsidTr="00473F0F">
        <w:trPr>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FFFFFF" w:themeFill="background1"/>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2016</w:t>
            </w:r>
          </w:p>
        </w:tc>
        <w:tc>
          <w:tcPr>
            <w:tcW w:w="981" w:type="dxa"/>
            <w:shd w:val="clear" w:color="auto" w:fill="FFFFFF" w:themeFill="background1"/>
            <w:vAlign w:val="center"/>
          </w:tcPr>
          <w:p w:rsidR="00473F0F" w:rsidRPr="00473F0F" w:rsidRDefault="00473F0F" w:rsidP="00473F0F">
            <w:pPr>
              <w:jc w:val="right"/>
              <w:rPr>
                <w:rFonts w:ascii="Calibri" w:hAnsi="Calibri"/>
                <w:color w:val="000000"/>
                <w:sz w:val="20"/>
                <w:szCs w:val="20"/>
              </w:rPr>
            </w:pPr>
            <w:r w:rsidRPr="00473F0F">
              <w:rPr>
                <w:rFonts w:ascii="Calibri" w:hAnsi="Calibri"/>
                <w:color w:val="000000"/>
                <w:sz w:val="20"/>
                <w:szCs w:val="20"/>
              </w:rPr>
              <w:t>8.58%</w:t>
            </w:r>
          </w:p>
        </w:tc>
        <w:tc>
          <w:tcPr>
            <w:tcW w:w="965" w:type="dxa"/>
            <w:shd w:val="clear" w:color="auto" w:fill="FFFFFF" w:themeFill="background1"/>
            <w:vAlign w:val="center"/>
          </w:tcPr>
          <w:p w:rsidR="00473F0F" w:rsidRPr="00473F0F" w:rsidRDefault="00473F0F" w:rsidP="00473F0F">
            <w:pPr>
              <w:jc w:val="center"/>
              <w:rPr>
                <w:rFonts w:ascii="Calibri" w:hAnsi="Calibri"/>
                <w:color w:val="000000"/>
                <w:sz w:val="20"/>
                <w:szCs w:val="20"/>
              </w:rPr>
            </w:pPr>
            <w:r w:rsidRPr="00473F0F">
              <w:rPr>
                <w:rFonts w:ascii="Calibri" w:hAnsi="Calibri"/>
                <w:color w:val="000000"/>
                <w:sz w:val="20"/>
                <w:szCs w:val="20"/>
              </w:rPr>
              <w:t>5.34%</w:t>
            </w:r>
          </w:p>
        </w:tc>
        <w:tc>
          <w:tcPr>
            <w:tcW w:w="1409" w:type="dxa"/>
            <w:shd w:val="clear" w:color="auto" w:fill="FFFFFF" w:themeFill="background1"/>
            <w:vAlign w:val="center"/>
          </w:tcPr>
          <w:p w:rsidR="00473F0F" w:rsidRPr="00473F0F" w:rsidRDefault="00473F0F" w:rsidP="00473F0F">
            <w:pPr>
              <w:jc w:val="center"/>
              <w:rPr>
                <w:rFonts w:ascii="Calibri" w:hAnsi="Calibri"/>
                <w:color w:val="000000"/>
                <w:sz w:val="20"/>
                <w:szCs w:val="20"/>
                <w:u w:val="single"/>
              </w:rPr>
            </w:pPr>
            <w:r w:rsidRPr="00473F0F">
              <w:rPr>
                <w:rFonts w:ascii="Calibri" w:hAnsi="Calibri"/>
                <w:color w:val="000000"/>
                <w:sz w:val="20"/>
                <w:szCs w:val="20"/>
                <w:u w:val="single"/>
              </w:rPr>
              <w:t>3.24%</w:t>
            </w:r>
          </w:p>
        </w:tc>
        <w:tc>
          <w:tcPr>
            <w:tcW w:w="1458" w:type="dxa"/>
            <w:gridSpan w:val="2"/>
            <w:shd w:val="clear" w:color="auto" w:fill="FFFFFF" w:themeFill="background1"/>
            <w:vAlign w:val="center"/>
          </w:tcPr>
          <w:p w:rsidR="00473F0F" w:rsidRPr="00473F0F" w:rsidRDefault="00473F0F" w:rsidP="00473F0F">
            <w:pPr>
              <w:jc w:val="center"/>
              <w:rPr>
                <w:rFonts w:ascii="Calibri" w:hAnsi="Calibri"/>
                <w:color w:val="000000"/>
                <w:sz w:val="20"/>
                <w:szCs w:val="20"/>
                <w:u w:val="single"/>
              </w:rPr>
            </w:pPr>
            <w:r w:rsidRPr="00473F0F">
              <w:rPr>
                <w:rFonts w:ascii="Calibri" w:hAnsi="Calibri"/>
                <w:color w:val="000000"/>
                <w:sz w:val="20"/>
                <w:szCs w:val="20"/>
                <w:u w:val="single"/>
              </w:rPr>
              <w:t>1.61</w:t>
            </w:r>
          </w:p>
        </w:tc>
      </w:tr>
      <w:tr w:rsidR="001E47D0" w:rsidTr="00473F0F">
        <w:trPr>
          <w:gridAfter w:val="1"/>
          <w:wAfter w:w="49" w:type="dxa"/>
          <w:trHeight w:val="20"/>
        </w:trPr>
        <w:tc>
          <w:tcPr>
            <w:tcW w:w="4927" w:type="dxa"/>
            <w:vMerge/>
            <w:shd w:val="clear" w:color="auto" w:fill="FFFFFF" w:themeFill="background1"/>
          </w:tcPr>
          <w:p w:rsidR="00473F0F" w:rsidRDefault="00473F0F" w:rsidP="00473F0F">
            <w:pPr>
              <w:autoSpaceDE w:val="0"/>
              <w:autoSpaceDN w:val="0"/>
              <w:adjustRightInd w:val="0"/>
              <w:rPr>
                <w:rFonts w:cs="Arial"/>
                <w:b/>
                <w:bCs/>
                <w:color w:val="0F243E" w:themeColor="text2" w:themeShade="80"/>
                <w:sz w:val="21"/>
                <w:szCs w:val="21"/>
              </w:rPr>
            </w:pPr>
          </w:p>
        </w:tc>
        <w:tc>
          <w:tcPr>
            <w:tcW w:w="1163" w:type="dxa"/>
            <w:shd w:val="clear" w:color="auto" w:fill="404040" w:themeFill="text1" w:themeFillTint="BF"/>
            <w:vAlign w:val="bottom"/>
          </w:tcPr>
          <w:p w:rsidR="00473F0F" w:rsidRPr="00473F0F" w:rsidRDefault="00473F0F" w:rsidP="00473F0F">
            <w:pPr>
              <w:jc w:val="center"/>
              <w:rPr>
                <w:rFonts w:ascii="Calibri" w:hAnsi="Calibri"/>
                <w:color w:val="000000"/>
                <w:sz w:val="20"/>
                <w:szCs w:val="20"/>
              </w:rPr>
            </w:pPr>
          </w:p>
        </w:tc>
        <w:tc>
          <w:tcPr>
            <w:tcW w:w="981" w:type="dxa"/>
            <w:shd w:val="clear" w:color="auto" w:fill="404040" w:themeFill="text1" w:themeFillTint="BF"/>
            <w:vAlign w:val="bottom"/>
          </w:tcPr>
          <w:p w:rsidR="00473F0F" w:rsidRPr="00473F0F" w:rsidRDefault="00473F0F" w:rsidP="00473F0F">
            <w:pPr>
              <w:jc w:val="center"/>
              <w:rPr>
                <w:rFonts w:ascii="Calibri" w:hAnsi="Calibri"/>
                <w:color w:val="000000"/>
                <w:sz w:val="20"/>
                <w:szCs w:val="20"/>
              </w:rPr>
            </w:pPr>
            <w:r w:rsidRPr="00473F0F">
              <w:rPr>
                <w:rFonts w:ascii="Calibri" w:hAnsi="Calibri"/>
                <w:color w:val="FFFFFF" w:themeColor="background1"/>
                <w:sz w:val="20"/>
                <w:szCs w:val="20"/>
              </w:rPr>
              <w:t>Average</w:t>
            </w:r>
          </w:p>
        </w:tc>
        <w:tc>
          <w:tcPr>
            <w:tcW w:w="965" w:type="dxa"/>
            <w:shd w:val="clear" w:color="auto" w:fill="404040" w:themeFill="text1" w:themeFillTint="BF"/>
            <w:vAlign w:val="center"/>
          </w:tcPr>
          <w:p w:rsidR="00473F0F" w:rsidRPr="00473F0F" w:rsidRDefault="00473F0F" w:rsidP="00473F0F">
            <w:pPr>
              <w:jc w:val="center"/>
              <w:rPr>
                <w:rFonts w:ascii="Calibri" w:hAnsi="Calibri"/>
                <w:b/>
                <w:bCs/>
                <w:color w:val="FFFFFF" w:themeColor="background1"/>
                <w:sz w:val="20"/>
                <w:szCs w:val="20"/>
              </w:rPr>
            </w:pPr>
          </w:p>
        </w:tc>
        <w:tc>
          <w:tcPr>
            <w:tcW w:w="1409" w:type="dxa"/>
            <w:shd w:val="clear" w:color="auto" w:fill="404040" w:themeFill="text1" w:themeFillTint="BF"/>
            <w:vAlign w:val="center"/>
          </w:tcPr>
          <w:p w:rsidR="00473F0F" w:rsidRPr="00473F0F" w:rsidRDefault="00473F0F" w:rsidP="00473F0F">
            <w:pPr>
              <w:jc w:val="center"/>
              <w:rPr>
                <w:rFonts w:ascii="Calibri" w:hAnsi="Calibri"/>
                <w:b/>
                <w:bCs/>
                <w:color w:val="FFFFFF" w:themeColor="background1"/>
                <w:sz w:val="20"/>
                <w:szCs w:val="20"/>
              </w:rPr>
            </w:pPr>
            <w:r w:rsidRPr="00473F0F">
              <w:rPr>
                <w:rFonts w:ascii="Calibri" w:hAnsi="Calibri"/>
                <w:b/>
                <w:bCs/>
                <w:color w:val="FFFFFF" w:themeColor="background1"/>
                <w:sz w:val="20"/>
                <w:szCs w:val="20"/>
              </w:rPr>
              <w:t>5.11%</w:t>
            </w:r>
          </w:p>
        </w:tc>
        <w:tc>
          <w:tcPr>
            <w:tcW w:w="1409" w:type="dxa"/>
            <w:shd w:val="clear" w:color="auto" w:fill="404040" w:themeFill="text1" w:themeFillTint="BF"/>
            <w:vAlign w:val="center"/>
          </w:tcPr>
          <w:p w:rsidR="00473F0F" w:rsidRPr="00473F0F" w:rsidRDefault="00473F0F" w:rsidP="00473F0F">
            <w:pPr>
              <w:jc w:val="center"/>
              <w:rPr>
                <w:rFonts w:ascii="Calibri" w:hAnsi="Calibri"/>
                <w:b/>
                <w:bCs/>
                <w:color w:val="FFFFFF" w:themeColor="background1"/>
                <w:sz w:val="20"/>
                <w:szCs w:val="20"/>
              </w:rPr>
            </w:pPr>
            <w:r w:rsidRPr="00473F0F">
              <w:rPr>
                <w:rFonts w:ascii="Calibri" w:hAnsi="Calibri"/>
                <w:b/>
                <w:bCs/>
                <w:color w:val="FFFFFF" w:themeColor="background1"/>
                <w:sz w:val="20"/>
                <w:szCs w:val="20"/>
              </w:rPr>
              <w:t>1.93</w:t>
            </w:r>
          </w:p>
        </w:tc>
      </w:tr>
    </w:tbl>
    <w:p w:rsidR="003E57DB" w:rsidRDefault="003E57DB" w:rsidP="00CD6260">
      <w:pPr>
        <w:autoSpaceDE w:val="0"/>
        <w:autoSpaceDN w:val="0"/>
        <w:adjustRightInd w:val="0"/>
        <w:spacing w:after="0" w:line="240" w:lineRule="auto"/>
        <w:rPr>
          <w:rFonts w:cs="Arial"/>
          <w:b/>
          <w:bCs/>
          <w:color w:val="0F243E" w:themeColor="text2" w:themeShade="80"/>
          <w:sz w:val="21"/>
          <w:szCs w:val="21"/>
        </w:rPr>
      </w:pPr>
    </w:p>
    <w:p w:rsidR="00CD6260" w:rsidRDefault="00CD6260" w:rsidP="00BA4144">
      <w:pPr>
        <w:autoSpaceDE w:val="0"/>
        <w:autoSpaceDN w:val="0"/>
        <w:adjustRightInd w:val="0"/>
        <w:spacing w:after="0" w:line="240" w:lineRule="auto"/>
        <w:rPr>
          <w:rFonts w:ascii="Arial" w:hAnsi="Arial" w:cs="Arial"/>
          <w:b/>
          <w:bCs/>
          <w:color w:val="000081"/>
          <w:sz w:val="18"/>
          <w:szCs w:val="18"/>
        </w:rPr>
      </w:pPr>
    </w:p>
    <w:p w:rsidR="00CD6260" w:rsidRDefault="00CD6260" w:rsidP="00BA4144">
      <w:pPr>
        <w:autoSpaceDE w:val="0"/>
        <w:autoSpaceDN w:val="0"/>
        <w:adjustRightInd w:val="0"/>
        <w:spacing w:after="0" w:line="240" w:lineRule="auto"/>
        <w:rPr>
          <w:rFonts w:ascii="Arial" w:hAnsi="Arial" w:cs="Arial"/>
          <w:b/>
          <w:bCs/>
          <w:color w:val="000081"/>
          <w:sz w:val="18"/>
          <w:szCs w:val="18"/>
        </w:rPr>
      </w:pPr>
    </w:p>
    <w:p w:rsidR="002959F8" w:rsidRPr="001B26C4" w:rsidRDefault="001B26C4" w:rsidP="00BA7D8E">
      <w:pPr>
        <w:shd w:val="clear" w:color="auto" w:fill="336600"/>
        <w:autoSpaceDE w:val="0"/>
        <w:autoSpaceDN w:val="0"/>
        <w:adjustRightInd w:val="0"/>
        <w:spacing w:after="0" w:line="240" w:lineRule="auto"/>
        <w:rPr>
          <w:rFonts w:cs="Arial"/>
          <w:b/>
          <w:bCs/>
          <w:color w:val="FFFFFF" w:themeColor="background1"/>
          <w:sz w:val="24"/>
          <w:szCs w:val="24"/>
        </w:rPr>
      </w:pPr>
      <w:r w:rsidRPr="001B26C4">
        <w:rPr>
          <w:rFonts w:cs="Arial"/>
          <w:b/>
          <w:bCs/>
          <w:color w:val="FFFFFF" w:themeColor="background1"/>
          <w:sz w:val="24"/>
          <w:szCs w:val="24"/>
        </w:rPr>
        <w:t>Structure</w:t>
      </w:r>
    </w:p>
    <w:p w:rsidR="00E91908" w:rsidRDefault="00E91908" w:rsidP="00BA4144">
      <w:pPr>
        <w:autoSpaceDE w:val="0"/>
        <w:autoSpaceDN w:val="0"/>
        <w:adjustRightInd w:val="0"/>
        <w:spacing w:after="0" w:line="240" w:lineRule="auto"/>
        <w:rPr>
          <w:rFonts w:cs="Arial"/>
          <w:b/>
          <w:bCs/>
          <w:color w:val="0000CC"/>
        </w:rPr>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1876"/>
        <w:gridCol w:w="1221"/>
        <w:gridCol w:w="1890"/>
        <w:gridCol w:w="1197"/>
        <w:gridCol w:w="1782"/>
        <w:gridCol w:w="1521"/>
      </w:tblGrid>
      <w:tr w:rsidR="00E91908" w:rsidTr="00E91908">
        <w:tc>
          <w:tcPr>
            <w:tcW w:w="1313" w:type="dxa"/>
          </w:tcPr>
          <w:p w:rsidR="00E91908" w:rsidRDefault="00E91908" w:rsidP="00E91908">
            <w:pPr>
              <w:autoSpaceDE w:val="0"/>
              <w:autoSpaceDN w:val="0"/>
              <w:adjustRightInd w:val="0"/>
              <w:jc w:val="center"/>
              <w:rPr>
                <w:rFonts w:cs="Arial"/>
                <w:b/>
                <w:bCs/>
                <w:color w:val="0000CC"/>
              </w:rPr>
            </w:pPr>
          </w:p>
        </w:tc>
        <w:tc>
          <w:tcPr>
            <w:tcW w:w="1876" w:type="dxa"/>
            <w:vAlign w:val="center"/>
          </w:tcPr>
          <w:p w:rsidR="00E91908" w:rsidRDefault="00E91908" w:rsidP="00E91908">
            <w:pPr>
              <w:autoSpaceDE w:val="0"/>
              <w:autoSpaceDN w:val="0"/>
              <w:adjustRightInd w:val="0"/>
              <w:jc w:val="center"/>
              <w:rPr>
                <w:rFonts w:cs="Arial"/>
                <w:b/>
                <w:bCs/>
                <w:color w:val="0000CC"/>
              </w:rPr>
            </w:pPr>
          </w:p>
        </w:tc>
        <w:tc>
          <w:tcPr>
            <w:tcW w:w="1221" w:type="dxa"/>
            <w:tcBorders>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left w:val="single" w:sz="4" w:space="0" w:color="auto"/>
              <w:bottom w:val="single" w:sz="4" w:space="0" w:color="auto"/>
              <w:right w:val="single" w:sz="4" w:space="0" w:color="auto"/>
            </w:tcBorders>
            <w:vAlign w:val="center"/>
          </w:tcPr>
          <w:p w:rsidR="00E91908" w:rsidRPr="00C135E8" w:rsidRDefault="00E91908" w:rsidP="00E91908">
            <w:pPr>
              <w:autoSpaceDE w:val="0"/>
              <w:autoSpaceDN w:val="0"/>
              <w:adjustRightInd w:val="0"/>
              <w:jc w:val="center"/>
              <w:rPr>
                <w:rFonts w:cs="Arial"/>
                <w:b/>
                <w:bCs/>
                <w:color w:val="0000CC"/>
                <w:sz w:val="18"/>
                <w:szCs w:val="18"/>
              </w:rPr>
            </w:pPr>
            <w:r w:rsidRPr="00C135E8">
              <w:rPr>
                <w:rFonts w:cs="Arial"/>
                <w:b/>
                <w:bCs/>
                <w:color w:val="0000CC"/>
                <w:sz w:val="18"/>
                <w:szCs w:val="18"/>
              </w:rPr>
              <w:t>Investor</w:t>
            </w:r>
          </w:p>
        </w:tc>
        <w:tc>
          <w:tcPr>
            <w:tcW w:w="1197" w:type="dxa"/>
            <w:tcBorders>
              <w:lef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782" w:type="dxa"/>
            <w:vAlign w:val="center"/>
          </w:tcPr>
          <w:p w:rsidR="00E91908" w:rsidRDefault="00E91908" w:rsidP="00E91908">
            <w:pPr>
              <w:autoSpaceDE w:val="0"/>
              <w:autoSpaceDN w:val="0"/>
              <w:adjustRightInd w:val="0"/>
              <w:jc w:val="center"/>
              <w:rPr>
                <w:rFonts w:cs="Arial"/>
                <w:b/>
                <w:bCs/>
                <w:color w:val="0000CC"/>
              </w:rPr>
            </w:pPr>
          </w:p>
        </w:tc>
        <w:tc>
          <w:tcPr>
            <w:tcW w:w="1521" w:type="dxa"/>
          </w:tcPr>
          <w:p w:rsidR="00E91908" w:rsidRDefault="00E91908" w:rsidP="00E91908">
            <w:pPr>
              <w:autoSpaceDE w:val="0"/>
              <w:autoSpaceDN w:val="0"/>
              <w:adjustRightInd w:val="0"/>
              <w:jc w:val="center"/>
              <w:rPr>
                <w:rFonts w:cs="Arial"/>
                <w:b/>
                <w:bCs/>
                <w:color w:val="0000CC"/>
              </w:rPr>
            </w:pPr>
          </w:p>
        </w:tc>
      </w:tr>
      <w:tr w:rsidR="00E91908" w:rsidTr="00E91908">
        <w:tc>
          <w:tcPr>
            <w:tcW w:w="1313" w:type="dxa"/>
          </w:tcPr>
          <w:p w:rsidR="00E91908" w:rsidRDefault="00E91908" w:rsidP="00E91908">
            <w:pPr>
              <w:autoSpaceDE w:val="0"/>
              <w:autoSpaceDN w:val="0"/>
              <w:adjustRightInd w:val="0"/>
              <w:jc w:val="center"/>
              <w:rPr>
                <w:rFonts w:cs="Arial"/>
                <w:b/>
                <w:bCs/>
                <w:color w:val="0000CC"/>
              </w:rPr>
            </w:pPr>
          </w:p>
        </w:tc>
        <w:tc>
          <w:tcPr>
            <w:tcW w:w="1876" w:type="dxa"/>
            <w:vAlign w:val="center"/>
          </w:tcPr>
          <w:p w:rsidR="00E91908" w:rsidRDefault="00E91908" w:rsidP="00E91908">
            <w:pPr>
              <w:autoSpaceDE w:val="0"/>
              <w:autoSpaceDN w:val="0"/>
              <w:adjustRightInd w:val="0"/>
              <w:jc w:val="center"/>
              <w:rPr>
                <w:rFonts w:cs="Arial"/>
                <w:b/>
                <w:bCs/>
                <w:color w:val="0000CC"/>
              </w:rPr>
            </w:pPr>
          </w:p>
        </w:tc>
        <w:tc>
          <w:tcPr>
            <w:tcW w:w="1221" w:type="dxa"/>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bottom w:val="single" w:sz="4" w:space="0" w:color="auto"/>
            </w:tcBorders>
            <w:vAlign w:val="center"/>
          </w:tcPr>
          <w:p w:rsidR="00E91908" w:rsidRPr="00E91908" w:rsidRDefault="00E91908" w:rsidP="00E91908">
            <w:pPr>
              <w:autoSpaceDE w:val="0"/>
              <w:autoSpaceDN w:val="0"/>
              <w:adjustRightInd w:val="0"/>
              <w:jc w:val="center"/>
              <w:rPr>
                <w:rFonts w:cs="Arial"/>
                <w:b/>
                <w:bCs/>
                <w:color w:val="0000CC"/>
                <w:sz w:val="32"/>
                <w:szCs w:val="32"/>
              </w:rPr>
            </w:pPr>
            <w:r w:rsidRPr="00E91908">
              <w:rPr>
                <w:rFonts w:ascii="Wingdings 3" w:hAnsi="Wingdings 3" w:cs="Vani"/>
                <w:sz w:val="32"/>
                <w:szCs w:val="32"/>
              </w:rPr>
              <w:t></w:t>
            </w:r>
          </w:p>
        </w:tc>
        <w:tc>
          <w:tcPr>
            <w:tcW w:w="1197" w:type="dxa"/>
            <w:vAlign w:val="center"/>
          </w:tcPr>
          <w:p w:rsidR="00E91908" w:rsidRDefault="00E91908" w:rsidP="00E91908">
            <w:pPr>
              <w:autoSpaceDE w:val="0"/>
              <w:autoSpaceDN w:val="0"/>
              <w:adjustRightInd w:val="0"/>
              <w:jc w:val="center"/>
              <w:rPr>
                <w:rFonts w:cs="Arial"/>
                <w:b/>
                <w:bCs/>
                <w:color w:val="0000CC"/>
              </w:rPr>
            </w:pPr>
          </w:p>
        </w:tc>
        <w:tc>
          <w:tcPr>
            <w:tcW w:w="1782" w:type="dxa"/>
            <w:vAlign w:val="center"/>
          </w:tcPr>
          <w:p w:rsidR="00E91908" w:rsidRDefault="00E91908" w:rsidP="00E91908">
            <w:pPr>
              <w:autoSpaceDE w:val="0"/>
              <w:autoSpaceDN w:val="0"/>
              <w:adjustRightInd w:val="0"/>
              <w:jc w:val="center"/>
              <w:rPr>
                <w:rFonts w:cs="Arial"/>
                <w:b/>
                <w:bCs/>
                <w:color w:val="0000CC"/>
              </w:rPr>
            </w:pPr>
          </w:p>
        </w:tc>
        <w:tc>
          <w:tcPr>
            <w:tcW w:w="1521" w:type="dxa"/>
          </w:tcPr>
          <w:p w:rsidR="00E91908" w:rsidRDefault="00E91908" w:rsidP="00E91908">
            <w:pPr>
              <w:autoSpaceDE w:val="0"/>
              <w:autoSpaceDN w:val="0"/>
              <w:adjustRightInd w:val="0"/>
              <w:jc w:val="center"/>
              <w:rPr>
                <w:rFonts w:cs="Arial"/>
                <w:b/>
                <w:bCs/>
                <w:color w:val="0000CC"/>
              </w:rPr>
            </w:pPr>
          </w:p>
        </w:tc>
      </w:tr>
      <w:tr w:rsidR="00E91908" w:rsidTr="00E91908">
        <w:tc>
          <w:tcPr>
            <w:tcW w:w="1313" w:type="dxa"/>
          </w:tcPr>
          <w:p w:rsidR="00E91908" w:rsidRDefault="00E91908" w:rsidP="00E91908">
            <w:pPr>
              <w:autoSpaceDE w:val="0"/>
              <w:autoSpaceDN w:val="0"/>
              <w:adjustRightInd w:val="0"/>
              <w:jc w:val="center"/>
              <w:rPr>
                <w:rFonts w:cs="Arial"/>
                <w:b/>
                <w:bCs/>
                <w:color w:val="0000CC"/>
              </w:rPr>
            </w:pPr>
          </w:p>
        </w:tc>
        <w:tc>
          <w:tcPr>
            <w:tcW w:w="1876" w:type="dxa"/>
            <w:vAlign w:val="center"/>
          </w:tcPr>
          <w:p w:rsidR="00E91908" w:rsidRDefault="00E91908" w:rsidP="00E91908">
            <w:pPr>
              <w:autoSpaceDE w:val="0"/>
              <w:autoSpaceDN w:val="0"/>
              <w:adjustRightInd w:val="0"/>
              <w:jc w:val="center"/>
              <w:rPr>
                <w:rFonts w:cs="Arial"/>
                <w:b/>
                <w:bCs/>
                <w:color w:val="0000CC"/>
              </w:rPr>
            </w:pPr>
          </w:p>
        </w:tc>
        <w:tc>
          <w:tcPr>
            <w:tcW w:w="1221" w:type="dxa"/>
            <w:tcBorders>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left w:val="single" w:sz="4" w:space="0" w:color="auto"/>
              <w:bottom w:val="single" w:sz="4" w:space="0" w:color="auto"/>
              <w:right w:val="single" w:sz="4" w:space="0" w:color="auto"/>
            </w:tcBorders>
            <w:vAlign w:val="center"/>
          </w:tcPr>
          <w:p w:rsidR="00E91908" w:rsidRPr="00C135E8" w:rsidRDefault="00E91908" w:rsidP="00E91908">
            <w:pPr>
              <w:autoSpaceDE w:val="0"/>
              <w:autoSpaceDN w:val="0"/>
              <w:adjustRightInd w:val="0"/>
              <w:jc w:val="center"/>
              <w:rPr>
                <w:rFonts w:cs="Arial"/>
                <w:b/>
                <w:bCs/>
                <w:color w:val="0000CC"/>
                <w:sz w:val="18"/>
                <w:szCs w:val="18"/>
              </w:rPr>
            </w:pPr>
            <w:r w:rsidRPr="00C135E8">
              <w:rPr>
                <w:rFonts w:cs="Arial"/>
                <w:b/>
                <w:bCs/>
                <w:color w:val="0000CC"/>
                <w:sz w:val="18"/>
                <w:szCs w:val="18"/>
              </w:rPr>
              <w:t>PNB (Sponsor)</w:t>
            </w:r>
          </w:p>
        </w:tc>
        <w:tc>
          <w:tcPr>
            <w:tcW w:w="1197" w:type="dxa"/>
            <w:tcBorders>
              <w:lef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782" w:type="dxa"/>
            <w:vAlign w:val="center"/>
          </w:tcPr>
          <w:p w:rsidR="00E91908" w:rsidRDefault="00E91908" w:rsidP="00E91908">
            <w:pPr>
              <w:autoSpaceDE w:val="0"/>
              <w:autoSpaceDN w:val="0"/>
              <w:adjustRightInd w:val="0"/>
              <w:jc w:val="center"/>
              <w:rPr>
                <w:rFonts w:cs="Arial"/>
                <w:b/>
                <w:bCs/>
                <w:color w:val="0000CC"/>
              </w:rPr>
            </w:pPr>
          </w:p>
        </w:tc>
        <w:tc>
          <w:tcPr>
            <w:tcW w:w="1521" w:type="dxa"/>
          </w:tcPr>
          <w:p w:rsidR="00E91908" w:rsidRDefault="00E91908" w:rsidP="00E91908">
            <w:pPr>
              <w:autoSpaceDE w:val="0"/>
              <w:autoSpaceDN w:val="0"/>
              <w:adjustRightInd w:val="0"/>
              <w:jc w:val="center"/>
              <w:rPr>
                <w:rFonts w:cs="Arial"/>
                <w:b/>
                <w:bCs/>
                <w:color w:val="0000CC"/>
              </w:rPr>
            </w:pPr>
          </w:p>
        </w:tc>
      </w:tr>
      <w:tr w:rsidR="00E91908" w:rsidTr="00E91908">
        <w:tc>
          <w:tcPr>
            <w:tcW w:w="1313" w:type="dxa"/>
          </w:tcPr>
          <w:p w:rsidR="00E91908" w:rsidRDefault="00E91908" w:rsidP="00E91908">
            <w:pPr>
              <w:autoSpaceDE w:val="0"/>
              <w:autoSpaceDN w:val="0"/>
              <w:adjustRightInd w:val="0"/>
              <w:jc w:val="center"/>
              <w:rPr>
                <w:rFonts w:cs="Arial"/>
                <w:b/>
                <w:bCs/>
                <w:color w:val="0000CC"/>
              </w:rPr>
            </w:pPr>
          </w:p>
        </w:tc>
        <w:tc>
          <w:tcPr>
            <w:tcW w:w="1876" w:type="dxa"/>
            <w:vAlign w:val="center"/>
          </w:tcPr>
          <w:p w:rsidR="00E91908" w:rsidRDefault="00E91908" w:rsidP="00E91908">
            <w:pPr>
              <w:autoSpaceDE w:val="0"/>
              <w:autoSpaceDN w:val="0"/>
              <w:adjustRightInd w:val="0"/>
              <w:jc w:val="center"/>
              <w:rPr>
                <w:rFonts w:cs="Arial"/>
                <w:b/>
                <w:bCs/>
                <w:color w:val="0000CC"/>
              </w:rPr>
            </w:pPr>
          </w:p>
        </w:tc>
        <w:tc>
          <w:tcPr>
            <w:tcW w:w="1221" w:type="dxa"/>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bottom w:val="single" w:sz="4" w:space="0" w:color="auto"/>
            </w:tcBorders>
            <w:vAlign w:val="center"/>
          </w:tcPr>
          <w:p w:rsidR="00E91908" w:rsidRPr="00E91908" w:rsidRDefault="00E91908" w:rsidP="00E91908">
            <w:pPr>
              <w:autoSpaceDE w:val="0"/>
              <w:autoSpaceDN w:val="0"/>
              <w:adjustRightInd w:val="0"/>
              <w:jc w:val="center"/>
              <w:rPr>
                <w:rFonts w:cs="Arial"/>
                <w:b/>
                <w:bCs/>
                <w:color w:val="0000CC"/>
                <w:sz w:val="32"/>
                <w:szCs w:val="32"/>
              </w:rPr>
            </w:pPr>
            <w:r w:rsidRPr="00E91908">
              <w:rPr>
                <w:rFonts w:ascii="Wingdings 3" w:hAnsi="Wingdings 3" w:cs="Vani"/>
                <w:sz w:val="32"/>
                <w:szCs w:val="32"/>
              </w:rPr>
              <w:t></w:t>
            </w:r>
          </w:p>
        </w:tc>
        <w:tc>
          <w:tcPr>
            <w:tcW w:w="1197" w:type="dxa"/>
            <w:vAlign w:val="center"/>
          </w:tcPr>
          <w:p w:rsidR="00E91908" w:rsidRDefault="00E91908" w:rsidP="00E91908">
            <w:pPr>
              <w:autoSpaceDE w:val="0"/>
              <w:autoSpaceDN w:val="0"/>
              <w:adjustRightInd w:val="0"/>
              <w:jc w:val="center"/>
              <w:rPr>
                <w:rFonts w:cs="Arial"/>
                <w:b/>
                <w:bCs/>
                <w:color w:val="0000CC"/>
              </w:rPr>
            </w:pPr>
          </w:p>
        </w:tc>
        <w:tc>
          <w:tcPr>
            <w:tcW w:w="1782" w:type="dxa"/>
            <w:vAlign w:val="center"/>
          </w:tcPr>
          <w:p w:rsidR="00E91908" w:rsidRDefault="00E91908" w:rsidP="00E91908">
            <w:pPr>
              <w:autoSpaceDE w:val="0"/>
              <w:autoSpaceDN w:val="0"/>
              <w:adjustRightInd w:val="0"/>
              <w:jc w:val="center"/>
              <w:rPr>
                <w:rFonts w:cs="Arial"/>
                <w:b/>
                <w:bCs/>
                <w:color w:val="0000CC"/>
              </w:rPr>
            </w:pPr>
          </w:p>
        </w:tc>
        <w:tc>
          <w:tcPr>
            <w:tcW w:w="1521" w:type="dxa"/>
          </w:tcPr>
          <w:p w:rsidR="00E91908" w:rsidRDefault="00E91908" w:rsidP="00E91908">
            <w:pPr>
              <w:autoSpaceDE w:val="0"/>
              <w:autoSpaceDN w:val="0"/>
              <w:adjustRightInd w:val="0"/>
              <w:jc w:val="center"/>
              <w:rPr>
                <w:rFonts w:cs="Arial"/>
                <w:b/>
                <w:bCs/>
                <w:color w:val="0000CC"/>
              </w:rPr>
            </w:pPr>
          </w:p>
        </w:tc>
      </w:tr>
      <w:tr w:rsidR="00E91908" w:rsidTr="00E91908">
        <w:tc>
          <w:tcPr>
            <w:tcW w:w="1313" w:type="dxa"/>
          </w:tcPr>
          <w:p w:rsidR="00E91908" w:rsidRDefault="00E91908" w:rsidP="00E91908">
            <w:pPr>
              <w:autoSpaceDE w:val="0"/>
              <w:autoSpaceDN w:val="0"/>
              <w:adjustRightInd w:val="0"/>
              <w:jc w:val="center"/>
              <w:rPr>
                <w:rFonts w:cs="Arial"/>
                <w:b/>
                <w:bCs/>
                <w:color w:val="0000CC"/>
              </w:rPr>
            </w:pPr>
          </w:p>
        </w:tc>
        <w:tc>
          <w:tcPr>
            <w:tcW w:w="1876" w:type="dxa"/>
            <w:tcBorders>
              <w:bottom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221" w:type="dxa"/>
            <w:tcBorders>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left w:val="single" w:sz="4" w:space="0" w:color="auto"/>
              <w:bottom w:val="single" w:sz="4" w:space="0" w:color="auto"/>
              <w:right w:val="single" w:sz="4" w:space="0" w:color="auto"/>
            </w:tcBorders>
            <w:vAlign w:val="center"/>
          </w:tcPr>
          <w:p w:rsidR="00E91908" w:rsidRPr="00C135E8" w:rsidRDefault="00E91908" w:rsidP="00E91908">
            <w:pPr>
              <w:autoSpaceDE w:val="0"/>
              <w:autoSpaceDN w:val="0"/>
              <w:adjustRightInd w:val="0"/>
              <w:jc w:val="center"/>
              <w:rPr>
                <w:rFonts w:cs="Arial"/>
                <w:b/>
                <w:bCs/>
                <w:color w:val="0000CC"/>
                <w:sz w:val="18"/>
                <w:szCs w:val="18"/>
              </w:rPr>
            </w:pPr>
            <w:r>
              <w:rPr>
                <w:rFonts w:cs="Arial"/>
                <w:b/>
                <w:bCs/>
                <w:color w:val="0000CC"/>
                <w:sz w:val="18"/>
                <w:szCs w:val="18"/>
              </w:rPr>
              <w:t>Normal Unit</w:t>
            </w:r>
            <w:r w:rsidRPr="00C135E8">
              <w:rPr>
                <w:rFonts w:cs="Arial"/>
                <w:b/>
                <w:bCs/>
                <w:color w:val="0000CC"/>
                <w:sz w:val="18"/>
                <w:szCs w:val="18"/>
              </w:rPr>
              <w:t xml:space="preserve"> Bank plc.</w:t>
            </w:r>
          </w:p>
          <w:p w:rsidR="00E91908" w:rsidRPr="00C135E8" w:rsidRDefault="00E91908" w:rsidP="00E91908">
            <w:pPr>
              <w:autoSpaceDE w:val="0"/>
              <w:autoSpaceDN w:val="0"/>
              <w:adjustRightInd w:val="0"/>
              <w:jc w:val="center"/>
              <w:rPr>
                <w:rFonts w:cs="Arial"/>
                <w:b/>
                <w:bCs/>
                <w:color w:val="0000CC"/>
                <w:sz w:val="18"/>
                <w:szCs w:val="18"/>
              </w:rPr>
            </w:pPr>
            <w:r w:rsidRPr="00C135E8">
              <w:rPr>
                <w:rFonts w:cs="Arial"/>
                <w:b/>
                <w:bCs/>
                <w:color w:val="0000CC"/>
                <w:sz w:val="18"/>
                <w:szCs w:val="18"/>
              </w:rPr>
              <w:t>(Issuer Certificate)</w:t>
            </w:r>
          </w:p>
        </w:tc>
        <w:tc>
          <w:tcPr>
            <w:tcW w:w="1197" w:type="dxa"/>
            <w:tcBorders>
              <w:lef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782" w:type="dxa"/>
            <w:tcBorders>
              <w:bottom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521" w:type="dxa"/>
          </w:tcPr>
          <w:p w:rsidR="00E91908" w:rsidRDefault="00E91908" w:rsidP="00E91908">
            <w:pPr>
              <w:autoSpaceDE w:val="0"/>
              <w:autoSpaceDN w:val="0"/>
              <w:adjustRightInd w:val="0"/>
              <w:jc w:val="center"/>
              <w:rPr>
                <w:rFonts w:cs="Arial"/>
                <w:b/>
                <w:bCs/>
                <w:color w:val="0000CC"/>
              </w:rPr>
            </w:pPr>
          </w:p>
        </w:tc>
      </w:tr>
      <w:tr w:rsidR="00E91908" w:rsidTr="00E91908">
        <w:tc>
          <w:tcPr>
            <w:tcW w:w="1313" w:type="dxa"/>
            <w:tcBorders>
              <w:right w:val="single" w:sz="4" w:space="0" w:color="auto"/>
            </w:tcBorders>
          </w:tcPr>
          <w:p w:rsidR="00E91908" w:rsidRDefault="00E91908" w:rsidP="00E91908">
            <w:pPr>
              <w:autoSpaceDE w:val="0"/>
              <w:autoSpaceDN w:val="0"/>
              <w:adjustRightInd w:val="0"/>
              <w:jc w:val="center"/>
              <w:rPr>
                <w:rFonts w:cs="Arial"/>
                <w:b/>
                <w:bCs/>
                <w:color w:val="0000CC"/>
                <w:sz w:val="18"/>
                <w:szCs w:val="18"/>
              </w:rPr>
            </w:pPr>
          </w:p>
        </w:tc>
        <w:tc>
          <w:tcPr>
            <w:tcW w:w="1876" w:type="dxa"/>
            <w:vMerge w:val="restart"/>
            <w:tcBorders>
              <w:top w:val="single" w:sz="4" w:space="0" w:color="auto"/>
              <w:left w:val="single" w:sz="4" w:space="0" w:color="auto"/>
              <w:bottom w:val="single" w:sz="4" w:space="0" w:color="auto"/>
              <w:right w:val="single" w:sz="4" w:space="0" w:color="auto"/>
            </w:tcBorders>
            <w:vAlign w:val="center"/>
          </w:tcPr>
          <w:p w:rsidR="00E91908" w:rsidRDefault="00E91908" w:rsidP="00E91908">
            <w:pPr>
              <w:autoSpaceDE w:val="0"/>
              <w:autoSpaceDN w:val="0"/>
              <w:adjustRightInd w:val="0"/>
              <w:jc w:val="center"/>
              <w:rPr>
                <w:rFonts w:cs="Arial"/>
                <w:b/>
                <w:bCs/>
                <w:color w:val="0000CC"/>
                <w:sz w:val="18"/>
                <w:szCs w:val="18"/>
              </w:rPr>
            </w:pPr>
            <w:r>
              <w:rPr>
                <w:rFonts w:cs="Arial"/>
                <w:b/>
                <w:bCs/>
                <w:color w:val="0000CC"/>
                <w:sz w:val="18"/>
                <w:szCs w:val="18"/>
              </w:rPr>
              <w:t>First Federal Yin Greenwich Ltd.</w:t>
            </w:r>
          </w:p>
          <w:p w:rsidR="00E91908" w:rsidRDefault="00E91908" w:rsidP="00E91908">
            <w:pPr>
              <w:autoSpaceDE w:val="0"/>
              <w:autoSpaceDN w:val="0"/>
              <w:adjustRightInd w:val="0"/>
              <w:jc w:val="center"/>
              <w:rPr>
                <w:rFonts w:cs="Arial"/>
                <w:bCs/>
                <w:color w:val="0000CC"/>
                <w:sz w:val="16"/>
                <w:szCs w:val="18"/>
              </w:rPr>
            </w:pPr>
            <w:r w:rsidRPr="00C135E8">
              <w:rPr>
                <w:rFonts w:cs="Arial"/>
                <w:bCs/>
                <w:color w:val="0000CC"/>
                <w:sz w:val="16"/>
                <w:szCs w:val="18"/>
              </w:rPr>
              <w:t>(</w:t>
            </w:r>
            <w:r>
              <w:rPr>
                <w:rFonts w:cs="Arial"/>
                <w:bCs/>
                <w:color w:val="0000CC"/>
                <w:sz w:val="16"/>
                <w:szCs w:val="18"/>
              </w:rPr>
              <w:t>Placement Agent</w:t>
            </w:r>
            <w:r w:rsidRPr="00C135E8">
              <w:rPr>
                <w:rFonts w:cs="Arial"/>
                <w:bCs/>
                <w:color w:val="0000CC"/>
                <w:sz w:val="16"/>
                <w:szCs w:val="18"/>
              </w:rPr>
              <w:t>)</w:t>
            </w:r>
          </w:p>
          <w:p w:rsidR="00E91908" w:rsidRPr="00E91908" w:rsidRDefault="00E91908" w:rsidP="00214936">
            <w:pPr>
              <w:pStyle w:val="ListParagraph"/>
              <w:numPr>
                <w:ilvl w:val="0"/>
                <w:numId w:val="1"/>
              </w:numPr>
              <w:autoSpaceDE w:val="0"/>
              <w:autoSpaceDN w:val="0"/>
              <w:adjustRightInd w:val="0"/>
              <w:rPr>
                <w:rFonts w:cs="Arial"/>
                <w:bCs/>
                <w:color w:val="0000CC"/>
                <w:sz w:val="16"/>
                <w:szCs w:val="18"/>
              </w:rPr>
            </w:pPr>
            <w:r w:rsidRPr="00E91908">
              <w:rPr>
                <w:rFonts w:cs="Arial"/>
                <w:bCs/>
                <w:color w:val="0000CC"/>
                <w:sz w:val="16"/>
                <w:szCs w:val="16"/>
              </w:rPr>
              <w:t>administrative and operational Support</w:t>
            </w:r>
          </w:p>
        </w:tc>
        <w:tc>
          <w:tcPr>
            <w:tcW w:w="1221" w:type="dxa"/>
            <w:tcBorders>
              <w:lef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bottom w:val="single" w:sz="4" w:space="0" w:color="auto"/>
            </w:tcBorders>
            <w:vAlign w:val="center"/>
          </w:tcPr>
          <w:p w:rsidR="00E91908" w:rsidRPr="00E91908" w:rsidRDefault="00E91908" w:rsidP="00E91908">
            <w:pPr>
              <w:autoSpaceDE w:val="0"/>
              <w:autoSpaceDN w:val="0"/>
              <w:adjustRightInd w:val="0"/>
              <w:jc w:val="center"/>
              <w:rPr>
                <w:rFonts w:cs="Arial"/>
                <w:b/>
                <w:bCs/>
                <w:color w:val="0000CC"/>
                <w:sz w:val="32"/>
                <w:szCs w:val="32"/>
              </w:rPr>
            </w:pPr>
            <w:r w:rsidRPr="00E91908">
              <w:rPr>
                <w:rFonts w:ascii="Wingdings 3" w:hAnsi="Wingdings 3" w:cs="Vani"/>
                <w:sz w:val="32"/>
                <w:szCs w:val="32"/>
              </w:rPr>
              <w:t></w:t>
            </w:r>
          </w:p>
        </w:tc>
        <w:tc>
          <w:tcPr>
            <w:tcW w:w="1197" w:type="dxa"/>
            <w:tcBorders>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782" w:type="dxa"/>
            <w:vMerge w:val="restart"/>
            <w:tcBorders>
              <w:top w:val="single" w:sz="4" w:space="0" w:color="auto"/>
              <w:left w:val="single" w:sz="4" w:space="0" w:color="auto"/>
              <w:bottom w:val="single" w:sz="4" w:space="0" w:color="auto"/>
              <w:right w:val="single" w:sz="4" w:space="0" w:color="auto"/>
            </w:tcBorders>
            <w:vAlign w:val="center"/>
          </w:tcPr>
          <w:p w:rsidR="00E91908" w:rsidRDefault="00E91908" w:rsidP="00E91908">
            <w:pPr>
              <w:autoSpaceDE w:val="0"/>
              <w:autoSpaceDN w:val="0"/>
              <w:adjustRightInd w:val="0"/>
              <w:rPr>
                <w:rFonts w:cs="Arial"/>
                <w:b/>
                <w:bCs/>
                <w:color w:val="0000CC"/>
                <w:sz w:val="18"/>
                <w:szCs w:val="18"/>
              </w:rPr>
            </w:pPr>
            <w:r>
              <w:rPr>
                <w:rFonts w:cs="Arial"/>
                <w:b/>
                <w:bCs/>
                <w:color w:val="0000CC"/>
                <w:sz w:val="18"/>
                <w:szCs w:val="18"/>
              </w:rPr>
              <w:t>First Federal Yin  (Bermuda) Ltd.</w:t>
            </w:r>
          </w:p>
          <w:p w:rsidR="00E91908" w:rsidRPr="00C135E8" w:rsidRDefault="00E91908" w:rsidP="00E91908">
            <w:pPr>
              <w:autoSpaceDE w:val="0"/>
              <w:autoSpaceDN w:val="0"/>
              <w:adjustRightInd w:val="0"/>
              <w:rPr>
                <w:rFonts w:cs="Arial"/>
                <w:bCs/>
                <w:color w:val="0000CC"/>
                <w:sz w:val="16"/>
                <w:szCs w:val="18"/>
              </w:rPr>
            </w:pPr>
            <w:r w:rsidRPr="00C135E8">
              <w:rPr>
                <w:rFonts w:cs="Arial"/>
                <w:bCs/>
                <w:color w:val="0000CC"/>
                <w:sz w:val="16"/>
                <w:szCs w:val="18"/>
              </w:rPr>
              <w:t>(Investment Manager)</w:t>
            </w:r>
          </w:p>
          <w:p w:rsidR="00E91908" w:rsidRPr="00C135E8" w:rsidRDefault="00E91908" w:rsidP="00E91908">
            <w:pPr>
              <w:pStyle w:val="ListParagraph"/>
              <w:numPr>
                <w:ilvl w:val="0"/>
                <w:numId w:val="1"/>
              </w:numPr>
              <w:autoSpaceDE w:val="0"/>
              <w:autoSpaceDN w:val="0"/>
              <w:adjustRightInd w:val="0"/>
              <w:rPr>
                <w:rFonts w:cs="Arial"/>
                <w:bCs/>
                <w:color w:val="0000CC"/>
                <w:sz w:val="16"/>
                <w:szCs w:val="16"/>
              </w:rPr>
            </w:pPr>
            <w:r w:rsidRPr="00C135E8">
              <w:rPr>
                <w:rFonts w:cs="Arial"/>
                <w:bCs/>
                <w:color w:val="0000CC"/>
                <w:sz w:val="16"/>
                <w:szCs w:val="16"/>
              </w:rPr>
              <w:t>Review, approve and monitor operating guideliens and risk limits</w:t>
            </w:r>
          </w:p>
          <w:p w:rsidR="00E91908" w:rsidRPr="00C135E8" w:rsidRDefault="00E91908" w:rsidP="00E91908">
            <w:pPr>
              <w:pStyle w:val="ListParagraph"/>
              <w:numPr>
                <w:ilvl w:val="0"/>
                <w:numId w:val="1"/>
              </w:numPr>
              <w:autoSpaceDE w:val="0"/>
              <w:autoSpaceDN w:val="0"/>
              <w:adjustRightInd w:val="0"/>
              <w:rPr>
                <w:rFonts w:cs="Arial"/>
                <w:bCs/>
                <w:color w:val="0000CC"/>
                <w:sz w:val="16"/>
                <w:szCs w:val="16"/>
              </w:rPr>
            </w:pPr>
            <w:r w:rsidRPr="00C135E8">
              <w:rPr>
                <w:rFonts w:cs="Arial"/>
                <w:bCs/>
                <w:color w:val="0000CC"/>
                <w:sz w:val="16"/>
                <w:szCs w:val="16"/>
              </w:rPr>
              <w:t>Allocate capital</w:t>
            </w:r>
          </w:p>
          <w:p w:rsidR="00E91908" w:rsidRPr="00C135E8" w:rsidRDefault="00E91908" w:rsidP="00E91908">
            <w:pPr>
              <w:pStyle w:val="ListParagraph"/>
              <w:numPr>
                <w:ilvl w:val="0"/>
                <w:numId w:val="1"/>
              </w:numPr>
              <w:autoSpaceDE w:val="0"/>
              <w:autoSpaceDN w:val="0"/>
              <w:adjustRightInd w:val="0"/>
              <w:rPr>
                <w:rFonts w:cs="Arial"/>
                <w:bCs/>
                <w:color w:val="0000CC"/>
                <w:sz w:val="16"/>
                <w:szCs w:val="16"/>
              </w:rPr>
            </w:pPr>
            <w:r w:rsidRPr="00C135E8">
              <w:rPr>
                <w:rFonts w:cs="Arial"/>
                <w:bCs/>
                <w:color w:val="0000CC"/>
                <w:sz w:val="16"/>
                <w:szCs w:val="16"/>
              </w:rPr>
              <w:t>manager selection</w:t>
            </w:r>
          </w:p>
          <w:p w:rsidR="00E91908" w:rsidRDefault="00E91908" w:rsidP="00E91908">
            <w:pPr>
              <w:autoSpaceDE w:val="0"/>
              <w:autoSpaceDN w:val="0"/>
              <w:adjustRightInd w:val="0"/>
              <w:rPr>
                <w:rFonts w:cs="Arial"/>
                <w:b/>
                <w:bCs/>
                <w:color w:val="0000CC"/>
              </w:rPr>
            </w:pPr>
            <w:r w:rsidRPr="00C135E8">
              <w:rPr>
                <w:rFonts w:cs="Arial"/>
                <w:bCs/>
                <w:color w:val="0000CC"/>
                <w:sz w:val="16"/>
                <w:szCs w:val="16"/>
              </w:rPr>
              <w:t>client communications</w:t>
            </w:r>
          </w:p>
        </w:tc>
        <w:tc>
          <w:tcPr>
            <w:tcW w:w="1521" w:type="dxa"/>
            <w:tcBorders>
              <w:left w:val="single" w:sz="4" w:space="0" w:color="auto"/>
            </w:tcBorders>
          </w:tcPr>
          <w:p w:rsidR="00E91908" w:rsidRDefault="00E91908" w:rsidP="00E91908">
            <w:pPr>
              <w:autoSpaceDE w:val="0"/>
              <w:autoSpaceDN w:val="0"/>
              <w:adjustRightInd w:val="0"/>
              <w:rPr>
                <w:rFonts w:cs="Arial"/>
                <w:b/>
                <w:bCs/>
                <w:color w:val="0000CC"/>
                <w:sz w:val="18"/>
                <w:szCs w:val="18"/>
              </w:rPr>
            </w:pPr>
          </w:p>
        </w:tc>
      </w:tr>
      <w:tr w:rsidR="00E91908" w:rsidTr="00E91908">
        <w:tc>
          <w:tcPr>
            <w:tcW w:w="1313" w:type="dxa"/>
            <w:tcBorders>
              <w:right w:val="single" w:sz="4" w:space="0" w:color="auto"/>
            </w:tcBorders>
          </w:tcPr>
          <w:p w:rsidR="00E91908" w:rsidRDefault="00E91908" w:rsidP="00E91908">
            <w:pPr>
              <w:autoSpaceDE w:val="0"/>
              <w:autoSpaceDN w:val="0"/>
              <w:adjustRightInd w:val="0"/>
              <w:jc w:val="center"/>
              <w:rPr>
                <w:rFonts w:cs="Arial"/>
                <w:b/>
                <w:bCs/>
                <w:color w:val="0000CC"/>
              </w:rPr>
            </w:pPr>
          </w:p>
        </w:tc>
        <w:tc>
          <w:tcPr>
            <w:tcW w:w="1876" w:type="dxa"/>
            <w:vMerge/>
            <w:tcBorders>
              <w:top w:val="single" w:sz="4" w:space="0" w:color="auto"/>
              <w:left w:val="single" w:sz="4" w:space="0" w:color="auto"/>
              <w:bottom w:val="single" w:sz="4" w:space="0" w:color="auto"/>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221" w:type="dxa"/>
            <w:tcBorders>
              <w:left w:val="single" w:sz="4" w:space="0" w:color="auto"/>
              <w:right w:val="single" w:sz="4" w:space="0" w:color="auto"/>
            </w:tcBorders>
            <w:vAlign w:val="center"/>
          </w:tcPr>
          <w:p w:rsidR="00E91908" w:rsidRDefault="00E91908" w:rsidP="00E91908">
            <w:pPr>
              <w:autoSpaceDE w:val="0"/>
              <w:autoSpaceDN w:val="0"/>
              <w:adjustRightInd w:val="0"/>
              <w:jc w:val="center"/>
              <w:rPr>
                <w:rFonts w:cs="Arial"/>
                <w:b/>
                <w:bCs/>
                <w:color w:val="0000CC"/>
              </w:rPr>
            </w:pPr>
            <w:r w:rsidRPr="00EE15FA">
              <w:rPr>
                <w:rFonts w:ascii="Wingdings 3" w:hAnsi="Wingdings 3" w:cs="Vani"/>
                <w:sz w:val="40"/>
                <w:szCs w:val="40"/>
              </w:rPr>
              <w:t></w:t>
            </w:r>
          </w:p>
        </w:tc>
        <w:tc>
          <w:tcPr>
            <w:tcW w:w="1890"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rsidR="00E91908" w:rsidRPr="00E91908" w:rsidRDefault="00E91908" w:rsidP="00E91908">
            <w:pPr>
              <w:autoSpaceDE w:val="0"/>
              <w:autoSpaceDN w:val="0"/>
              <w:adjustRightInd w:val="0"/>
              <w:jc w:val="center"/>
              <w:rPr>
                <w:rFonts w:cs="Arial"/>
                <w:b/>
                <w:bCs/>
                <w:color w:val="FFFFFF" w:themeColor="background1"/>
                <w:sz w:val="18"/>
                <w:szCs w:val="18"/>
              </w:rPr>
            </w:pPr>
          </w:p>
          <w:p w:rsidR="00E91908" w:rsidRPr="00E91908" w:rsidRDefault="00E91908" w:rsidP="00E91908">
            <w:pPr>
              <w:autoSpaceDE w:val="0"/>
              <w:autoSpaceDN w:val="0"/>
              <w:adjustRightInd w:val="0"/>
              <w:jc w:val="center"/>
              <w:rPr>
                <w:rFonts w:cs="Arial"/>
                <w:b/>
                <w:bCs/>
                <w:color w:val="FFFFFF" w:themeColor="background1"/>
                <w:sz w:val="18"/>
                <w:szCs w:val="18"/>
              </w:rPr>
            </w:pPr>
          </w:p>
          <w:p w:rsidR="00E91908" w:rsidRPr="00E91908" w:rsidRDefault="00E91908" w:rsidP="00E91908">
            <w:pPr>
              <w:autoSpaceDE w:val="0"/>
              <w:autoSpaceDN w:val="0"/>
              <w:adjustRightInd w:val="0"/>
              <w:jc w:val="center"/>
              <w:rPr>
                <w:rFonts w:cs="Arial"/>
                <w:b/>
                <w:bCs/>
                <w:color w:val="FFFFFF" w:themeColor="background1"/>
                <w:sz w:val="18"/>
                <w:szCs w:val="18"/>
              </w:rPr>
            </w:pPr>
            <w:r w:rsidRPr="00E91908">
              <w:rPr>
                <w:rFonts w:cs="Arial"/>
                <w:b/>
                <w:bCs/>
                <w:color w:val="FFFFFF" w:themeColor="background1"/>
                <w:sz w:val="18"/>
                <w:szCs w:val="18"/>
              </w:rPr>
              <w:t>First Federal Yin Ltd. Fund</w:t>
            </w:r>
          </w:p>
          <w:p w:rsidR="00E91908" w:rsidRPr="00E91908" w:rsidRDefault="00E91908" w:rsidP="00E91908">
            <w:pPr>
              <w:autoSpaceDE w:val="0"/>
              <w:autoSpaceDN w:val="0"/>
              <w:adjustRightInd w:val="0"/>
              <w:jc w:val="center"/>
              <w:rPr>
                <w:rFonts w:cs="Arial"/>
                <w:b/>
                <w:bCs/>
                <w:color w:val="FFFFFF" w:themeColor="background1"/>
                <w:sz w:val="18"/>
                <w:szCs w:val="18"/>
              </w:rPr>
            </w:pPr>
          </w:p>
          <w:p w:rsidR="00E91908" w:rsidRPr="00E91908" w:rsidRDefault="00E91908" w:rsidP="00E91908">
            <w:pPr>
              <w:autoSpaceDE w:val="0"/>
              <w:autoSpaceDN w:val="0"/>
              <w:adjustRightInd w:val="0"/>
              <w:jc w:val="center"/>
              <w:rPr>
                <w:rFonts w:cs="Arial"/>
                <w:b/>
                <w:bCs/>
                <w:color w:val="FFFFFF" w:themeColor="background1"/>
                <w:sz w:val="18"/>
                <w:szCs w:val="18"/>
              </w:rPr>
            </w:pPr>
          </w:p>
        </w:tc>
        <w:tc>
          <w:tcPr>
            <w:tcW w:w="1197" w:type="dxa"/>
            <w:tcBorders>
              <w:left w:val="single" w:sz="4" w:space="0" w:color="auto"/>
              <w:right w:val="single" w:sz="4" w:space="0" w:color="auto"/>
            </w:tcBorders>
            <w:vAlign w:val="center"/>
          </w:tcPr>
          <w:p w:rsidR="00E91908" w:rsidRDefault="00E91908" w:rsidP="00E91908">
            <w:pPr>
              <w:autoSpaceDE w:val="0"/>
              <w:autoSpaceDN w:val="0"/>
              <w:adjustRightInd w:val="0"/>
              <w:jc w:val="center"/>
              <w:rPr>
                <w:rFonts w:cs="Arial"/>
                <w:b/>
                <w:bCs/>
                <w:color w:val="0000CC"/>
              </w:rPr>
            </w:pPr>
            <w:r w:rsidRPr="00EE15FA">
              <w:rPr>
                <w:rFonts w:ascii="Wingdings 3" w:hAnsi="Wingdings 3" w:cs="Vani"/>
                <w:sz w:val="40"/>
                <w:szCs w:val="40"/>
              </w:rPr>
              <w:t></w:t>
            </w:r>
          </w:p>
        </w:tc>
        <w:tc>
          <w:tcPr>
            <w:tcW w:w="1782" w:type="dxa"/>
            <w:vMerge/>
            <w:tcBorders>
              <w:top w:val="single" w:sz="4" w:space="0" w:color="auto"/>
              <w:left w:val="single" w:sz="4" w:space="0" w:color="auto"/>
              <w:bottom w:val="single" w:sz="4" w:space="0" w:color="auto"/>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521" w:type="dxa"/>
            <w:tcBorders>
              <w:left w:val="single" w:sz="4" w:space="0" w:color="auto"/>
            </w:tcBorders>
          </w:tcPr>
          <w:p w:rsidR="00E91908" w:rsidRDefault="00E91908" w:rsidP="00E91908">
            <w:pPr>
              <w:autoSpaceDE w:val="0"/>
              <w:autoSpaceDN w:val="0"/>
              <w:adjustRightInd w:val="0"/>
              <w:jc w:val="center"/>
              <w:rPr>
                <w:rFonts w:cs="Arial"/>
                <w:b/>
                <w:bCs/>
                <w:color w:val="0000CC"/>
              </w:rPr>
            </w:pPr>
          </w:p>
        </w:tc>
      </w:tr>
      <w:tr w:rsidR="00E91908" w:rsidTr="00E91908">
        <w:tc>
          <w:tcPr>
            <w:tcW w:w="1313" w:type="dxa"/>
            <w:tcBorders>
              <w:right w:val="single" w:sz="4" w:space="0" w:color="auto"/>
            </w:tcBorders>
          </w:tcPr>
          <w:p w:rsidR="00E91908" w:rsidRDefault="00E91908" w:rsidP="00E91908">
            <w:pPr>
              <w:autoSpaceDE w:val="0"/>
              <w:autoSpaceDN w:val="0"/>
              <w:adjustRightInd w:val="0"/>
              <w:jc w:val="center"/>
              <w:rPr>
                <w:rFonts w:cs="Arial"/>
                <w:b/>
                <w:bCs/>
                <w:color w:val="0000CC"/>
              </w:rPr>
            </w:pPr>
          </w:p>
        </w:tc>
        <w:tc>
          <w:tcPr>
            <w:tcW w:w="1876" w:type="dxa"/>
            <w:vMerge/>
            <w:tcBorders>
              <w:top w:val="single" w:sz="4" w:space="0" w:color="auto"/>
              <w:left w:val="single" w:sz="4" w:space="0" w:color="auto"/>
              <w:bottom w:val="single" w:sz="4" w:space="0" w:color="auto"/>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221" w:type="dxa"/>
            <w:tcBorders>
              <w:lef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bottom w:val="single" w:sz="4" w:space="0" w:color="auto"/>
            </w:tcBorders>
            <w:vAlign w:val="center"/>
          </w:tcPr>
          <w:p w:rsidR="00E91908" w:rsidRPr="00E91908" w:rsidRDefault="00E91908" w:rsidP="00E91908">
            <w:pPr>
              <w:autoSpaceDE w:val="0"/>
              <w:autoSpaceDN w:val="0"/>
              <w:adjustRightInd w:val="0"/>
              <w:jc w:val="center"/>
              <w:rPr>
                <w:rFonts w:cs="Arial"/>
                <w:b/>
                <w:bCs/>
                <w:color w:val="0000CC"/>
                <w:sz w:val="32"/>
                <w:szCs w:val="32"/>
              </w:rPr>
            </w:pPr>
            <w:r w:rsidRPr="00E91908">
              <w:rPr>
                <w:rFonts w:ascii="Wingdings 3" w:hAnsi="Wingdings 3" w:cs="Vani"/>
                <w:sz w:val="32"/>
                <w:szCs w:val="32"/>
              </w:rPr>
              <w:t></w:t>
            </w:r>
          </w:p>
        </w:tc>
        <w:tc>
          <w:tcPr>
            <w:tcW w:w="1197" w:type="dxa"/>
            <w:tcBorders>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782" w:type="dxa"/>
            <w:vMerge/>
            <w:tcBorders>
              <w:top w:val="single" w:sz="4" w:space="0" w:color="auto"/>
              <w:left w:val="single" w:sz="4" w:space="0" w:color="auto"/>
              <w:bottom w:val="single" w:sz="4" w:space="0" w:color="auto"/>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521" w:type="dxa"/>
            <w:tcBorders>
              <w:left w:val="single" w:sz="4" w:space="0" w:color="auto"/>
            </w:tcBorders>
          </w:tcPr>
          <w:p w:rsidR="00E91908" w:rsidRDefault="00E91908" w:rsidP="00E91908">
            <w:pPr>
              <w:autoSpaceDE w:val="0"/>
              <w:autoSpaceDN w:val="0"/>
              <w:adjustRightInd w:val="0"/>
              <w:jc w:val="center"/>
              <w:rPr>
                <w:rFonts w:cs="Arial"/>
                <w:b/>
                <w:bCs/>
                <w:color w:val="0000CC"/>
              </w:rPr>
            </w:pPr>
          </w:p>
        </w:tc>
      </w:tr>
      <w:tr w:rsidR="00E91908" w:rsidTr="00E91908">
        <w:tc>
          <w:tcPr>
            <w:tcW w:w="1313" w:type="dxa"/>
          </w:tcPr>
          <w:p w:rsidR="00E91908" w:rsidRDefault="00E91908" w:rsidP="00E91908">
            <w:pPr>
              <w:autoSpaceDE w:val="0"/>
              <w:autoSpaceDN w:val="0"/>
              <w:adjustRightInd w:val="0"/>
              <w:jc w:val="center"/>
              <w:rPr>
                <w:rFonts w:cs="Arial"/>
                <w:b/>
                <w:bCs/>
                <w:color w:val="0000CC"/>
              </w:rPr>
            </w:pPr>
          </w:p>
        </w:tc>
        <w:tc>
          <w:tcPr>
            <w:tcW w:w="1876" w:type="dxa"/>
            <w:tcBorders>
              <w:top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221" w:type="dxa"/>
            <w:tcBorders>
              <w:righ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890" w:type="dxa"/>
            <w:tcBorders>
              <w:top w:val="single" w:sz="4" w:space="0" w:color="auto"/>
              <w:left w:val="single" w:sz="4" w:space="0" w:color="auto"/>
              <w:bottom w:val="single" w:sz="4" w:space="0" w:color="auto"/>
              <w:right w:val="single" w:sz="4" w:space="0" w:color="auto"/>
            </w:tcBorders>
            <w:vAlign w:val="center"/>
          </w:tcPr>
          <w:p w:rsidR="00E91908" w:rsidRPr="00C135E8" w:rsidRDefault="00BC7178" w:rsidP="00E91908">
            <w:pPr>
              <w:autoSpaceDE w:val="0"/>
              <w:autoSpaceDN w:val="0"/>
              <w:adjustRightInd w:val="0"/>
              <w:jc w:val="center"/>
              <w:rPr>
                <w:rFonts w:cs="Arial"/>
                <w:b/>
                <w:bCs/>
                <w:color w:val="0000CC"/>
                <w:sz w:val="18"/>
                <w:szCs w:val="18"/>
              </w:rPr>
            </w:pPr>
            <w:r>
              <w:rPr>
                <w:rFonts w:cs="Arial"/>
                <w:b/>
                <w:bCs/>
                <w:color w:val="0000CC"/>
                <w:sz w:val="18"/>
                <w:szCs w:val="18"/>
              </w:rPr>
              <w:t xml:space="preserve">Noble </w:t>
            </w:r>
            <w:r w:rsidR="00E91908" w:rsidRPr="00C135E8">
              <w:rPr>
                <w:rFonts w:cs="Arial"/>
                <w:b/>
                <w:bCs/>
                <w:color w:val="0000CC"/>
                <w:sz w:val="18"/>
                <w:szCs w:val="18"/>
              </w:rPr>
              <w:t>Affirmed Investment Securities</w:t>
            </w:r>
          </w:p>
          <w:p w:rsidR="00E91908" w:rsidRPr="00FD0307" w:rsidRDefault="00E91908" w:rsidP="00E91908">
            <w:pPr>
              <w:autoSpaceDE w:val="0"/>
              <w:autoSpaceDN w:val="0"/>
              <w:adjustRightInd w:val="0"/>
              <w:jc w:val="center"/>
              <w:rPr>
                <w:rFonts w:cs="Arial"/>
                <w:bCs/>
                <w:color w:val="0000CC"/>
                <w:sz w:val="16"/>
                <w:szCs w:val="16"/>
              </w:rPr>
            </w:pPr>
            <w:r w:rsidRPr="00FD0307">
              <w:rPr>
                <w:rFonts w:cs="Arial"/>
                <w:bCs/>
                <w:color w:val="0000CC"/>
                <w:sz w:val="16"/>
                <w:szCs w:val="16"/>
              </w:rPr>
              <w:t>(Trade-execution Agent, Market Timing)</w:t>
            </w:r>
          </w:p>
        </w:tc>
        <w:tc>
          <w:tcPr>
            <w:tcW w:w="1197" w:type="dxa"/>
            <w:tcBorders>
              <w:left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782" w:type="dxa"/>
            <w:tcBorders>
              <w:top w:val="single" w:sz="4" w:space="0" w:color="auto"/>
            </w:tcBorders>
            <w:vAlign w:val="center"/>
          </w:tcPr>
          <w:p w:rsidR="00E91908" w:rsidRDefault="00E91908" w:rsidP="00E91908">
            <w:pPr>
              <w:autoSpaceDE w:val="0"/>
              <w:autoSpaceDN w:val="0"/>
              <w:adjustRightInd w:val="0"/>
              <w:jc w:val="center"/>
              <w:rPr>
                <w:rFonts w:cs="Arial"/>
                <w:b/>
                <w:bCs/>
                <w:color w:val="0000CC"/>
              </w:rPr>
            </w:pPr>
          </w:p>
        </w:tc>
        <w:tc>
          <w:tcPr>
            <w:tcW w:w="1521" w:type="dxa"/>
          </w:tcPr>
          <w:p w:rsidR="00E91908" w:rsidRDefault="00E91908" w:rsidP="00E91908">
            <w:pPr>
              <w:autoSpaceDE w:val="0"/>
              <w:autoSpaceDN w:val="0"/>
              <w:adjustRightInd w:val="0"/>
              <w:jc w:val="center"/>
              <w:rPr>
                <w:rFonts w:cs="Arial"/>
                <w:b/>
                <w:bCs/>
                <w:color w:val="0000CC"/>
              </w:rPr>
            </w:pPr>
          </w:p>
        </w:tc>
      </w:tr>
    </w:tbl>
    <w:p w:rsidR="00FD0307" w:rsidRPr="0059173B" w:rsidRDefault="00FD0307" w:rsidP="00BA4144">
      <w:pPr>
        <w:autoSpaceDE w:val="0"/>
        <w:autoSpaceDN w:val="0"/>
        <w:adjustRightInd w:val="0"/>
        <w:spacing w:after="0" w:line="240" w:lineRule="auto"/>
        <w:rPr>
          <w:rFonts w:cs="Arial"/>
          <w:b/>
          <w:bCs/>
          <w:color w:val="0000CC"/>
        </w:rPr>
      </w:pPr>
    </w:p>
    <w:p w:rsidR="00BB020E" w:rsidRPr="00E91908" w:rsidRDefault="00E91908">
      <w:pPr>
        <w:rPr>
          <w:sz w:val="20"/>
          <w:szCs w:val="20"/>
        </w:rPr>
      </w:pPr>
      <w:r w:rsidRPr="00E91908">
        <w:rPr>
          <w:rFonts w:cs="Arial"/>
          <w:bCs/>
          <w:color w:val="0000CC"/>
          <w:sz w:val="20"/>
          <w:szCs w:val="20"/>
        </w:rPr>
        <w:t>The Investment Manager of the underlying Fund is the well-established First Federal Yin Greenwich Group, which offers a range of alternative investment Fu</w:t>
      </w:r>
      <w:r w:rsidR="00BC7178">
        <w:rPr>
          <w:rFonts w:cs="Arial"/>
          <w:bCs/>
          <w:color w:val="0000CC"/>
          <w:sz w:val="20"/>
          <w:szCs w:val="20"/>
        </w:rPr>
        <w:t>nds. The First Federal Yin Gree</w:t>
      </w:r>
      <w:r w:rsidRPr="00E91908">
        <w:rPr>
          <w:rFonts w:cs="Arial"/>
          <w:bCs/>
          <w:color w:val="0000CC"/>
          <w:sz w:val="20"/>
          <w:szCs w:val="20"/>
        </w:rPr>
        <w:t>nwich Group was founded in 1992 and manages approximately USD 9 billion in alternative investment products.  The company employs more than 80 people and has offices in New York, London and the Bermuda Islands as well as representative offices in the USA, Europe and Latin America.</w:t>
      </w:r>
      <w:r w:rsidR="00BB020E" w:rsidRPr="00E91908">
        <w:rPr>
          <w:sz w:val="20"/>
          <w:szCs w:val="20"/>
        </w:rPr>
        <w:br w:type="page"/>
      </w:r>
    </w:p>
    <w:p w:rsidR="006C1D29" w:rsidRDefault="006C1D29" w:rsidP="00FC5561">
      <w:pPr>
        <w:rPr>
          <w:sz w:val="2"/>
          <w:szCs w:val="2"/>
        </w:rPr>
      </w:pPr>
    </w:p>
    <w:tbl>
      <w:tblPr>
        <w:tblStyle w:val="TableGrid"/>
        <w:tblW w:w="10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066"/>
        <w:gridCol w:w="1919"/>
      </w:tblGrid>
      <w:tr w:rsidR="00BB020E" w:rsidRPr="006D135C" w:rsidTr="00BB020E">
        <w:trPr>
          <w:trHeight w:val="477"/>
        </w:trPr>
        <w:tc>
          <w:tcPr>
            <w:tcW w:w="9066" w:type="dxa"/>
            <w:shd w:val="clear" w:color="auto" w:fill="0000CC"/>
            <w:vAlign w:val="center"/>
          </w:tcPr>
          <w:p w:rsidR="00BB020E" w:rsidRPr="00BB020E" w:rsidRDefault="00BB020E" w:rsidP="00BB020E">
            <w:pPr>
              <w:rPr>
                <w:rFonts w:ascii="Verdana" w:hAnsi="Verdana" w:cs="Lucida Sans Unicode"/>
                <w:b/>
                <w:color w:val="FFFFFF" w:themeColor="background1"/>
                <w:sz w:val="20"/>
                <w:szCs w:val="20"/>
              </w:rPr>
            </w:pPr>
          </w:p>
          <w:p w:rsidR="00BB020E" w:rsidRPr="00BB020E" w:rsidRDefault="00BB020E" w:rsidP="00BB020E">
            <w:pPr>
              <w:rPr>
                <w:rFonts w:ascii="Verdana" w:hAnsi="Verdana" w:cs="Lucida Sans Unicode"/>
                <w:b/>
                <w:color w:val="FFFFFF" w:themeColor="background1"/>
                <w:sz w:val="44"/>
                <w:szCs w:val="44"/>
              </w:rPr>
            </w:pPr>
            <w:r w:rsidRPr="00BB020E">
              <w:rPr>
                <w:rFonts w:ascii="Verdana" w:hAnsi="Verdana" w:cs="Lucida Sans Unicode"/>
                <w:b/>
                <w:color w:val="FFFFFF" w:themeColor="background1"/>
                <w:sz w:val="44"/>
                <w:szCs w:val="44"/>
              </w:rPr>
              <w:t>First Federal Yin Ltd.</w:t>
            </w:r>
          </w:p>
        </w:tc>
        <w:tc>
          <w:tcPr>
            <w:tcW w:w="1919" w:type="dxa"/>
            <w:vMerge w:val="restart"/>
            <w:shd w:val="clear" w:color="auto" w:fill="0000CC"/>
            <w:vAlign w:val="bottom"/>
          </w:tcPr>
          <w:p w:rsidR="00BB020E" w:rsidRPr="00BB020E" w:rsidRDefault="00BB020E" w:rsidP="00BB020E">
            <w:pPr>
              <w:jc w:val="center"/>
              <w:rPr>
                <w:rFonts w:ascii="Colonna MT" w:hAnsi="Colonna MT" w:cs="Lucida Sans Unicode"/>
                <w:color w:val="FFFFFF" w:themeColor="background1"/>
                <w:sz w:val="88"/>
                <w:szCs w:val="88"/>
              </w:rPr>
            </w:pPr>
            <w:r w:rsidRPr="00BB020E">
              <w:rPr>
                <w:rFonts w:ascii="Colonna MT" w:hAnsi="Colonna MT" w:cs="Lucida Sans Unicode"/>
                <w:color w:val="FFFFFF" w:themeColor="background1"/>
                <w:sz w:val="88"/>
                <w:szCs w:val="88"/>
              </w:rPr>
              <w:t>PNB</w:t>
            </w:r>
          </w:p>
          <w:p w:rsidR="00BB020E" w:rsidRDefault="00BB020E" w:rsidP="00BB020E">
            <w:pPr>
              <w:jc w:val="center"/>
              <w:rPr>
                <w:rFonts w:ascii="Arial" w:hAnsi="Arial" w:cs="Arial"/>
                <w:color w:val="FFFFFF" w:themeColor="background1"/>
                <w:sz w:val="20"/>
                <w:szCs w:val="20"/>
              </w:rPr>
            </w:pPr>
            <w:r w:rsidRPr="006D135C">
              <w:rPr>
                <w:rFonts w:ascii="Arial" w:hAnsi="Arial" w:cs="Arial"/>
                <w:color w:val="FFFFFF" w:themeColor="background1"/>
                <w:sz w:val="20"/>
                <w:szCs w:val="20"/>
              </w:rPr>
              <w:t>Pure Native Bank</w:t>
            </w:r>
          </w:p>
          <w:p w:rsidR="00BB020E" w:rsidRDefault="00BB020E" w:rsidP="00BB020E">
            <w:pPr>
              <w:jc w:val="center"/>
              <w:rPr>
                <w:rFonts w:ascii="Arial" w:hAnsi="Arial" w:cs="Arial"/>
                <w:color w:val="FFFFFF" w:themeColor="background1"/>
                <w:sz w:val="20"/>
                <w:szCs w:val="20"/>
              </w:rPr>
            </w:pPr>
          </w:p>
          <w:p w:rsidR="00BB020E" w:rsidRDefault="00BB020E" w:rsidP="00BB020E">
            <w:pPr>
              <w:rPr>
                <w:rFonts w:ascii="Colonna MT" w:hAnsi="Colonna MT" w:cs="Lucida Sans Unicode"/>
                <w:color w:val="FFFFFF" w:themeColor="background1"/>
                <w:sz w:val="20"/>
                <w:szCs w:val="20"/>
              </w:rPr>
            </w:pPr>
          </w:p>
          <w:p w:rsidR="00BB020E" w:rsidRPr="00BB020E" w:rsidRDefault="00BB020E" w:rsidP="00BB020E">
            <w:pPr>
              <w:jc w:val="center"/>
              <w:rPr>
                <w:rFonts w:ascii="Colonna MT" w:hAnsi="Colonna MT" w:cs="Lucida Sans Unicode"/>
                <w:color w:val="FFFFFF" w:themeColor="background1"/>
                <w:sz w:val="20"/>
                <w:szCs w:val="20"/>
              </w:rPr>
            </w:pPr>
          </w:p>
        </w:tc>
      </w:tr>
      <w:tr w:rsidR="00BB020E" w:rsidRPr="006D135C" w:rsidTr="00BB020E">
        <w:trPr>
          <w:trHeight w:val="468"/>
        </w:trPr>
        <w:tc>
          <w:tcPr>
            <w:tcW w:w="9066" w:type="dxa"/>
            <w:shd w:val="clear" w:color="auto" w:fill="0000CC"/>
            <w:vAlign w:val="center"/>
          </w:tcPr>
          <w:p w:rsidR="00BB020E" w:rsidRPr="00BB020E" w:rsidRDefault="00BB020E" w:rsidP="00BB020E">
            <w:pPr>
              <w:rPr>
                <w:rFonts w:ascii="Arial" w:hAnsi="Arial" w:cs="Arial"/>
                <w:color w:val="FFFFFF" w:themeColor="background1"/>
                <w:sz w:val="40"/>
                <w:szCs w:val="40"/>
              </w:rPr>
            </w:pPr>
          </w:p>
        </w:tc>
        <w:tc>
          <w:tcPr>
            <w:tcW w:w="1919" w:type="dxa"/>
            <w:vMerge/>
            <w:shd w:val="clear" w:color="auto" w:fill="0000CC"/>
          </w:tcPr>
          <w:p w:rsidR="00BB020E" w:rsidRPr="006D135C" w:rsidRDefault="00BB020E" w:rsidP="00BB020E">
            <w:pPr>
              <w:jc w:val="center"/>
              <w:rPr>
                <w:rFonts w:ascii="Colonna MT" w:hAnsi="Colonna MT" w:cs="Lucida Sans Unicode"/>
                <w:color w:val="FFFFFF" w:themeColor="background1"/>
                <w:sz w:val="80"/>
                <w:szCs w:val="80"/>
              </w:rPr>
            </w:pPr>
          </w:p>
        </w:tc>
      </w:tr>
      <w:tr w:rsidR="00BB020E" w:rsidRPr="006D135C" w:rsidTr="00BB020E">
        <w:trPr>
          <w:trHeight w:val="249"/>
        </w:trPr>
        <w:tc>
          <w:tcPr>
            <w:tcW w:w="9066" w:type="dxa"/>
            <w:shd w:val="clear" w:color="auto" w:fill="0000CC"/>
            <w:vAlign w:val="center"/>
          </w:tcPr>
          <w:p w:rsidR="00BB020E" w:rsidRDefault="00BB020E" w:rsidP="00BB020E">
            <w:pPr>
              <w:rPr>
                <w:rFonts w:ascii="Arial" w:hAnsi="Arial" w:cs="Arial"/>
                <w:color w:val="FFFFFF" w:themeColor="background1"/>
                <w:sz w:val="40"/>
                <w:szCs w:val="40"/>
              </w:rPr>
            </w:pPr>
            <w:r>
              <w:rPr>
                <w:rFonts w:ascii="Arial" w:hAnsi="Arial" w:cs="Arial"/>
                <w:color w:val="FFFFFF" w:themeColor="background1"/>
                <w:sz w:val="40"/>
                <w:szCs w:val="40"/>
              </w:rPr>
              <w:t>Conditions</w:t>
            </w:r>
          </w:p>
          <w:p w:rsidR="00BB020E" w:rsidRPr="00BB020E" w:rsidRDefault="00BB020E" w:rsidP="00BB020E">
            <w:pPr>
              <w:rPr>
                <w:rFonts w:ascii="Arial" w:hAnsi="Arial" w:cs="Arial"/>
                <w:color w:val="FFFFFF" w:themeColor="background1"/>
                <w:sz w:val="20"/>
                <w:szCs w:val="20"/>
              </w:rPr>
            </w:pPr>
          </w:p>
        </w:tc>
        <w:tc>
          <w:tcPr>
            <w:tcW w:w="1919" w:type="dxa"/>
            <w:vMerge/>
            <w:shd w:val="clear" w:color="auto" w:fill="3333CC"/>
          </w:tcPr>
          <w:p w:rsidR="00BB020E" w:rsidRPr="00BB020E" w:rsidRDefault="00BB020E">
            <w:pPr>
              <w:rPr>
                <w:rFonts w:ascii="Arial" w:hAnsi="Arial" w:cs="Arial"/>
                <w:color w:val="FFFFFF" w:themeColor="background1"/>
                <w:sz w:val="20"/>
                <w:szCs w:val="20"/>
              </w:rPr>
            </w:pPr>
          </w:p>
        </w:tc>
      </w:tr>
    </w:tbl>
    <w:p w:rsidR="00ED76A4" w:rsidRDefault="00ED76A4">
      <w:pPr>
        <w:rPr>
          <w:rFonts w:ascii="Arial Narrow" w:hAnsi="Arial Narrow" w:cs="Lucida Sans Unicode"/>
          <w:sz w:val="20"/>
          <w:szCs w:val="20"/>
        </w:rPr>
      </w:pPr>
    </w:p>
    <w:tbl>
      <w:tblPr>
        <w:tblStyle w:val="TableGrid"/>
        <w:tblW w:w="0" w:type="auto"/>
        <w:tblLook w:val="04A0" w:firstRow="1" w:lastRow="0" w:firstColumn="1" w:lastColumn="0" w:noHBand="0" w:noVBand="1"/>
      </w:tblPr>
      <w:tblGrid>
        <w:gridCol w:w="4135"/>
        <w:gridCol w:w="6655"/>
      </w:tblGrid>
      <w:tr w:rsidR="00BB020E" w:rsidTr="00A97AB0">
        <w:tc>
          <w:tcPr>
            <w:tcW w:w="4135" w:type="dxa"/>
          </w:tcPr>
          <w:p w:rsidR="00BB020E" w:rsidRPr="00BB020E" w:rsidRDefault="00BB020E">
            <w:pPr>
              <w:rPr>
                <w:rFonts w:ascii="Arial" w:hAnsi="Arial" w:cs="Arial"/>
                <w:sz w:val="20"/>
                <w:szCs w:val="20"/>
              </w:rPr>
            </w:pPr>
            <w:r w:rsidRPr="00BB020E">
              <w:rPr>
                <w:rFonts w:ascii="Arial" w:hAnsi="Arial" w:cs="Arial"/>
                <w:sz w:val="20"/>
                <w:szCs w:val="20"/>
              </w:rPr>
              <w:t>Issuer</w:t>
            </w:r>
          </w:p>
        </w:tc>
        <w:tc>
          <w:tcPr>
            <w:tcW w:w="6655" w:type="dxa"/>
          </w:tcPr>
          <w:p w:rsidR="00BB020E" w:rsidRDefault="00F34827" w:rsidP="00F34827">
            <w:pPr>
              <w:rPr>
                <w:rFonts w:ascii="Arial Narrow" w:hAnsi="Arial Narrow" w:cs="Lucida Sans Unicode"/>
                <w:sz w:val="20"/>
                <w:szCs w:val="20"/>
              </w:rPr>
            </w:pPr>
            <w:r>
              <w:rPr>
                <w:rFonts w:ascii="Arial Narrow" w:hAnsi="Arial Narrow" w:cs="Lucida Sans Unicode"/>
                <w:sz w:val="20"/>
                <w:szCs w:val="20"/>
              </w:rPr>
              <w:t>Normal Unit Bank plc.</w:t>
            </w:r>
          </w:p>
        </w:tc>
      </w:tr>
      <w:tr w:rsidR="00BB020E" w:rsidTr="00A97AB0">
        <w:tc>
          <w:tcPr>
            <w:tcW w:w="4135" w:type="dxa"/>
          </w:tcPr>
          <w:p w:rsidR="00BB020E" w:rsidRPr="00BB020E" w:rsidRDefault="00BB020E">
            <w:pPr>
              <w:rPr>
                <w:rFonts w:ascii="Arial" w:hAnsi="Arial" w:cs="Arial"/>
                <w:sz w:val="20"/>
                <w:szCs w:val="20"/>
              </w:rPr>
            </w:pPr>
            <w:r>
              <w:rPr>
                <w:rFonts w:ascii="Arial" w:hAnsi="Arial" w:cs="Arial"/>
                <w:sz w:val="20"/>
                <w:szCs w:val="20"/>
              </w:rPr>
              <w:t>Guarantor</w:t>
            </w:r>
          </w:p>
        </w:tc>
        <w:tc>
          <w:tcPr>
            <w:tcW w:w="6655" w:type="dxa"/>
          </w:tcPr>
          <w:p w:rsidR="00BB020E" w:rsidRDefault="00F34827">
            <w:pPr>
              <w:rPr>
                <w:rFonts w:ascii="Arial Narrow" w:hAnsi="Arial Narrow" w:cs="Lucida Sans Unicode"/>
                <w:sz w:val="20"/>
                <w:szCs w:val="20"/>
              </w:rPr>
            </w:pPr>
            <w:r>
              <w:rPr>
                <w:rFonts w:ascii="Arial Narrow" w:hAnsi="Arial Narrow" w:cs="Lucida Sans Unicode"/>
                <w:sz w:val="20"/>
                <w:szCs w:val="20"/>
              </w:rPr>
              <w:t>Normal Unit Securities Co., Ltd.</w:t>
            </w:r>
          </w:p>
        </w:tc>
      </w:tr>
      <w:tr w:rsidR="00BB020E" w:rsidTr="00A97AB0">
        <w:tc>
          <w:tcPr>
            <w:tcW w:w="4135" w:type="dxa"/>
          </w:tcPr>
          <w:p w:rsidR="00BB020E" w:rsidRDefault="00BB020E">
            <w:pPr>
              <w:rPr>
                <w:rFonts w:ascii="Arial" w:hAnsi="Arial" w:cs="Arial"/>
                <w:sz w:val="20"/>
                <w:szCs w:val="20"/>
              </w:rPr>
            </w:pPr>
            <w:r>
              <w:rPr>
                <w:rFonts w:ascii="Arial" w:hAnsi="Arial" w:cs="Arial"/>
                <w:sz w:val="20"/>
                <w:szCs w:val="20"/>
              </w:rPr>
              <w:t>Circulation Agent</w:t>
            </w:r>
          </w:p>
        </w:tc>
        <w:tc>
          <w:tcPr>
            <w:tcW w:w="6655" w:type="dxa"/>
          </w:tcPr>
          <w:p w:rsidR="00BB020E" w:rsidRDefault="00F34827">
            <w:pPr>
              <w:rPr>
                <w:rFonts w:ascii="Arial Narrow" w:hAnsi="Arial Narrow" w:cs="Lucida Sans Unicode"/>
                <w:sz w:val="20"/>
                <w:szCs w:val="20"/>
              </w:rPr>
            </w:pPr>
            <w:r>
              <w:rPr>
                <w:rFonts w:ascii="Arial Narrow" w:hAnsi="Arial Narrow" w:cs="Lucida Sans Unicode"/>
                <w:sz w:val="20"/>
                <w:szCs w:val="20"/>
              </w:rPr>
              <w:t>Normal Unit Bank plc.</w:t>
            </w:r>
          </w:p>
        </w:tc>
      </w:tr>
      <w:tr w:rsidR="00BB020E" w:rsidTr="00A97AB0">
        <w:tc>
          <w:tcPr>
            <w:tcW w:w="4135" w:type="dxa"/>
          </w:tcPr>
          <w:p w:rsidR="00BB020E" w:rsidRDefault="00BB020E">
            <w:pPr>
              <w:rPr>
                <w:rFonts w:ascii="Arial" w:hAnsi="Arial" w:cs="Arial"/>
                <w:sz w:val="20"/>
                <w:szCs w:val="20"/>
              </w:rPr>
            </w:pPr>
            <w:r>
              <w:rPr>
                <w:rFonts w:ascii="Arial" w:hAnsi="Arial" w:cs="Arial"/>
                <w:sz w:val="20"/>
                <w:szCs w:val="20"/>
              </w:rPr>
              <w:t>Rating Guarantor</w:t>
            </w:r>
          </w:p>
        </w:tc>
        <w:tc>
          <w:tcPr>
            <w:tcW w:w="6655" w:type="dxa"/>
          </w:tcPr>
          <w:p w:rsidR="00BB020E" w:rsidRDefault="00F34827">
            <w:pPr>
              <w:rPr>
                <w:rFonts w:ascii="Arial Narrow" w:hAnsi="Arial Narrow" w:cs="Lucida Sans Unicode"/>
                <w:sz w:val="20"/>
                <w:szCs w:val="20"/>
              </w:rPr>
            </w:pPr>
            <w:r>
              <w:rPr>
                <w:rFonts w:ascii="Arial Narrow" w:hAnsi="Arial Narrow" w:cs="Lucida Sans Unicode"/>
                <w:sz w:val="20"/>
                <w:szCs w:val="20"/>
              </w:rPr>
              <w:t>A / A2 (S&amp;P’s / Moody’s)</w:t>
            </w:r>
          </w:p>
        </w:tc>
      </w:tr>
      <w:tr w:rsidR="00BB020E" w:rsidTr="00A97AB0">
        <w:tc>
          <w:tcPr>
            <w:tcW w:w="4135" w:type="dxa"/>
          </w:tcPr>
          <w:p w:rsidR="00BB020E" w:rsidRDefault="00BB020E">
            <w:pPr>
              <w:rPr>
                <w:rFonts w:ascii="Arial" w:hAnsi="Arial" w:cs="Arial"/>
                <w:sz w:val="20"/>
                <w:szCs w:val="20"/>
              </w:rPr>
            </w:pPr>
            <w:r>
              <w:rPr>
                <w:rFonts w:ascii="Arial" w:hAnsi="Arial" w:cs="Arial"/>
                <w:sz w:val="20"/>
                <w:szCs w:val="20"/>
              </w:rPr>
              <w:t>Sponsor</w:t>
            </w:r>
          </w:p>
        </w:tc>
        <w:tc>
          <w:tcPr>
            <w:tcW w:w="6655" w:type="dxa"/>
          </w:tcPr>
          <w:p w:rsidR="00BB020E" w:rsidRDefault="00F34827">
            <w:pPr>
              <w:rPr>
                <w:rFonts w:ascii="Arial Narrow" w:hAnsi="Arial Narrow" w:cs="Lucida Sans Unicode"/>
                <w:sz w:val="20"/>
                <w:szCs w:val="20"/>
              </w:rPr>
            </w:pPr>
            <w:r>
              <w:rPr>
                <w:rFonts w:ascii="Arial Narrow" w:hAnsi="Arial Narrow" w:cs="Lucida Sans Unicode"/>
                <w:sz w:val="20"/>
                <w:szCs w:val="20"/>
              </w:rPr>
              <w:t>PNB Pure Native Bank Ltd., Zurich</w:t>
            </w:r>
          </w:p>
        </w:tc>
      </w:tr>
      <w:tr w:rsidR="00BB020E" w:rsidTr="00A97AB0">
        <w:tc>
          <w:tcPr>
            <w:tcW w:w="4135" w:type="dxa"/>
          </w:tcPr>
          <w:p w:rsidR="00BB020E" w:rsidRDefault="00F34827">
            <w:pPr>
              <w:rPr>
                <w:rFonts w:ascii="Arial" w:hAnsi="Arial" w:cs="Arial"/>
                <w:sz w:val="20"/>
                <w:szCs w:val="20"/>
              </w:rPr>
            </w:pPr>
            <w:r>
              <w:rPr>
                <w:rFonts w:ascii="Arial" w:hAnsi="Arial" w:cs="Arial"/>
                <w:sz w:val="20"/>
                <w:szCs w:val="20"/>
              </w:rPr>
              <w:t>Form</w:t>
            </w:r>
          </w:p>
        </w:tc>
        <w:tc>
          <w:tcPr>
            <w:tcW w:w="6655" w:type="dxa"/>
          </w:tcPr>
          <w:p w:rsidR="00BB020E" w:rsidRDefault="00F34827">
            <w:pPr>
              <w:rPr>
                <w:rFonts w:ascii="Arial Narrow" w:hAnsi="Arial Narrow" w:cs="Lucida Sans Unicode"/>
                <w:sz w:val="20"/>
                <w:szCs w:val="20"/>
              </w:rPr>
            </w:pPr>
            <w:r>
              <w:rPr>
                <w:rFonts w:ascii="Arial Narrow" w:hAnsi="Arial Narrow" w:cs="Lucida Sans Unicode"/>
                <w:sz w:val="20"/>
                <w:szCs w:val="20"/>
              </w:rPr>
              <w:t>Certificate</w:t>
            </w:r>
          </w:p>
        </w:tc>
      </w:tr>
      <w:tr w:rsidR="00F34827" w:rsidTr="00A97AB0">
        <w:tc>
          <w:tcPr>
            <w:tcW w:w="4135" w:type="dxa"/>
          </w:tcPr>
          <w:p w:rsidR="00F34827" w:rsidRDefault="00F34827">
            <w:pPr>
              <w:rPr>
                <w:rFonts w:ascii="Arial" w:hAnsi="Arial" w:cs="Arial"/>
                <w:sz w:val="20"/>
                <w:szCs w:val="20"/>
              </w:rPr>
            </w:pPr>
            <w:r>
              <w:rPr>
                <w:rFonts w:ascii="Arial" w:hAnsi="Arial" w:cs="Arial"/>
                <w:sz w:val="20"/>
                <w:szCs w:val="20"/>
              </w:rPr>
              <w:t>Currency</w:t>
            </w:r>
          </w:p>
        </w:tc>
        <w:tc>
          <w:tcPr>
            <w:tcW w:w="6655" w:type="dxa"/>
          </w:tcPr>
          <w:p w:rsidR="00F34827" w:rsidRDefault="00F34827">
            <w:pPr>
              <w:rPr>
                <w:rFonts w:ascii="Arial Narrow" w:hAnsi="Arial Narrow" w:cs="Lucida Sans Unicode"/>
                <w:sz w:val="20"/>
                <w:szCs w:val="20"/>
              </w:rPr>
            </w:pPr>
            <w:r>
              <w:rPr>
                <w:rFonts w:ascii="Arial Narrow" w:hAnsi="Arial Narrow" w:cs="Lucida Sans Unicode"/>
                <w:sz w:val="20"/>
                <w:szCs w:val="20"/>
              </w:rPr>
              <w:t>USD</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Denomination</w:t>
            </w:r>
          </w:p>
        </w:tc>
        <w:tc>
          <w:tcPr>
            <w:tcW w:w="6655" w:type="dxa"/>
          </w:tcPr>
          <w:p w:rsidR="00F34827" w:rsidRDefault="00F34827" w:rsidP="00F34827">
            <w:pPr>
              <w:rPr>
                <w:rFonts w:ascii="Arial Narrow" w:hAnsi="Arial Narrow" w:cs="Lucida Sans Unicode"/>
                <w:sz w:val="20"/>
                <w:szCs w:val="20"/>
              </w:rPr>
            </w:pPr>
            <w:r>
              <w:rPr>
                <w:rFonts w:ascii="Arial Narrow" w:hAnsi="Arial Narrow" w:cs="Lucida Sans Unicode"/>
                <w:sz w:val="20"/>
                <w:szCs w:val="20"/>
              </w:rPr>
              <w:t>USD 50,000</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Issue amount</w:t>
            </w:r>
          </w:p>
        </w:tc>
        <w:tc>
          <w:tcPr>
            <w:tcW w:w="6655" w:type="dxa"/>
          </w:tcPr>
          <w:p w:rsidR="00F34827" w:rsidRDefault="00F34827" w:rsidP="00F34827">
            <w:pPr>
              <w:rPr>
                <w:rFonts w:ascii="Arial Narrow" w:hAnsi="Arial Narrow" w:cs="Lucida Sans Unicode"/>
                <w:sz w:val="20"/>
                <w:szCs w:val="20"/>
              </w:rPr>
            </w:pPr>
            <w:r>
              <w:rPr>
                <w:rFonts w:ascii="Arial Narrow" w:hAnsi="Arial Narrow" w:cs="Lucida Sans Unicode"/>
                <w:sz w:val="20"/>
                <w:szCs w:val="20"/>
              </w:rPr>
              <w:t>USD 50,000,000</w:t>
            </w:r>
          </w:p>
        </w:tc>
      </w:tr>
      <w:tr w:rsidR="00F34827" w:rsidTr="00A97AB0">
        <w:tc>
          <w:tcPr>
            <w:tcW w:w="4135" w:type="dxa"/>
          </w:tcPr>
          <w:p w:rsidR="00F34827" w:rsidRDefault="00F34827" w:rsidP="00F34827">
            <w:pPr>
              <w:rPr>
                <w:rFonts w:ascii="Arial" w:hAnsi="Arial" w:cs="Arial"/>
                <w:sz w:val="20"/>
                <w:szCs w:val="20"/>
              </w:rPr>
            </w:pPr>
          </w:p>
        </w:tc>
        <w:tc>
          <w:tcPr>
            <w:tcW w:w="6655" w:type="dxa"/>
          </w:tcPr>
          <w:p w:rsidR="00F34827" w:rsidRDefault="00F34827" w:rsidP="00F34827">
            <w:pPr>
              <w:rPr>
                <w:rFonts w:ascii="Arial Narrow" w:hAnsi="Arial Narrow" w:cs="Lucida Sans Unicode"/>
                <w:sz w:val="20"/>
                <w:szCs w:val="20"/>
              </w:rPr>
            </w:pP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Index Start-Date</w:t>
            </w:r>
          </w:p>
        </w:tc>
        <w:tc>
          <w:tcPr>
            <w:tcW w:w="6655" w:type="dxa"/>
          </w:tcPr>
          <w:p w:rsidR="00F34827" w:rsidRDefault="00355F0B" w:rsidP="00355F0B">
            <w:pPr>
              <w:rPr>
                <w:rFonts w:ascii="Arial Narrow" w:hAnsi="Arial Narrow" w:cs="Lucida Sans Unicode"/>
                <w:sz w:val="20"/>
                <w:szCs w:val="20"/>
              </w:rPr>
            </w:pPr>
            <w:r>
              <w:rPr>
                <w:rFonts w:ascii="Arial Narrow" w:hAnsi="Arial Narrow" w:cs="Lucida Sans Unicode"/>
                <w:sz w:val="20"/>
                <w:szCs w:val="20"/>
              </w:rPr>
              <w:t>9</w:t>
            </w:r>
            <w:r w:rsidR="00F34827">
              <w:rPr>
                <w:rFonts w:ascii="Arial Narrow" w:hAnsi="Arial Narrow" w:cs="Lucida Sans Unicode"/>
                <w:sz w:val="20"/>
                <w:szCs w:val="20"/>
              </w:rPr>
              <w:t>/1/2017</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Index End-Date</w:t>
            </w:r>
          </w:p>
        </w:tc>
        <w:tc>
          <w:tcPr>
            <w:tcW w:w="6655" w:type="dxa"/>
          </w:tcPr>
          <w:p w:rsidR="00F34827" w:rsidRDefault="00355F0B" w:rsidP="00355F0B">
            <w:pPr>
              <w:rPr>
                <w:rFonts w:ascii="Arial Narrow" w:hAnsi="Arial Narrow" w:cs="Lucida Sans Unicode"/>
                <w:sz w:val="20"/>
                <w:szCs w:val="20"/>
              </w:rPr>
            </w:pPr>
            <w:r>
              <w:rPr>
                <w:rFonts w:ascii="Arial Narrow" w:hAnsi="Arial Narrow" w:cs="Lucida Sans Unicode"/>
                <w:sz w:val="20"/>
                <w:szCs w:val="20"/>
              </w:rPr>
              <w:t>9</w:t>
            </w:r>
            <w:r w:rsidR="00F34827">
              <w:rPr>
                <w:rFonts w:ascii="Arial Narrow" w:hAnsi="Arial Narrow" w:cs="Lucida Sans Unicode"/>
                <w:sz w:val="20"/>
                <w:szCs w:val="20"/>
              </w:rPr>
              <w:t>/</w:t>
            </w:r>
            <w:r>
              <w:rPr>
                <w:rFonts w:ascii="Arial Narrow" w:hAnsi="Arial Narrow" w:cs="Lucida Sans Unicode"/>
                <w:sz w:val="20"/>
                <w:szCs w:val="20"/>
              </w:rPr>
              <w:t>2</w:t>
            </w:r>
            <w:r w:rsidR="00F34827">
              <w:rPr>
                <w:rFonts w:ascii="Arial Narrow" w:hAnsi="Arial Narrow" w:cs="Lucida Sans Unicode"/>
                <w:sz w:val="20"/>
                <w:szCs w:val="20"/>
              </w:rPr>
              <w:t>/2022</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Redemption Date</w:t>
            </w:r>
          </w:p>
        </w:tc>
        <w:tc>
          <w:tcPr>
            <w:tcW w:w="6655" w:type="dxa"/>
          </w:tcPr>
          <w:p w:rsidR="00F34827" w:rsidRDefault="00F34827" w:rsidP="00F34827">
            <w:pPr>
              <w:rPr>
                <w:rFonts w:ascii="Arial Narrow" w:hAnsi="Arial Narrow" w:cs="Lucida Sans Unicode"/>
                <w:sz w:val="20"/>
                <w:szCs w:val="20"/>
              </w:rPr>
            </w:pPr>
            <w:r>
              <w:rPr>
                <w:rFonts w:ascii="Arial Narrow" w:hAnsi="Arial Narrow" w:cs="Lucida Sans Unicode"/>
                <w:sz w:val="20"/>
                <w:szCs w:val="20"/>
              </w:rPr>
              <w:t>Cash, 10 Business days following Index End-Date</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Certificate Settlement amount on Redemption Date</w:t>
            </w:r>
          </w:p>
        </w:tc>
        <w:tc>
          <w:tcPr>
            <w:tcW w:w="6655" w:type="dxa"/>
          </w:tcPr>
          <w:p w:rsidR="00F34827" w:rsidRDefault="00F34827" w:rsidP="00F34827">
            <w:pPr>
              <w:rPr>
                <w:rFonts w:ascii="Arial Narrow" w:hAnsi="Arial Narrow" w:cs="Lucida Sans Unicode"/>
                <w:sz w:val="20"/>
                <w:szCs w:val="20"/>
              </w:rPr>
            </w:pPr>
            <w:r>
              <w:rPr>
                <w:rFonts w:ascii="Arial Narrow" w:hAnsi="Arial Narrow" w:cs="Lucida Sans Unicode"/>
                <w:sz w:val="20"/>
                <w:szCs w:val="20"/>
              </w:rPr>
              <w:t>USD 50,000 * Index Value End-Date / 100</w:t>
            </w:r>
          </w:p>
          <w:p w:rsidR="00F34827" w:rsidRPr="00F34827" w:rsidRDefault="00F34827" w:rsidP="00F34827">
            <w:pPr>
              <w:rPr>
                <w:rFonts w:ascii="Arial Narrow" w:hAnsi="Arial Narrow" w:cs="Lucida Sans Unicode"/>
                <w:b/>
                <w:sz w:val="20"/>
                <w:szCs w:val="20"/>
              </w:rPr>
            </w:pPr>
            <w:r>
              <w:rPr>
                <w:rFonts w:ascii="Arial Narrow" w:hAnsi="Arial Narrow" w:cs="Lucida Sans Unicode"/>
                <w:b/>
                <w:sz w:val="20"/>
                <w:szCs w:val="20"/>
              </w:rPr>
              <w:t>(no capital protection at maturity)</w:t>
            </w:r>
          </w:p>
        </w:tc>
      </w:tr>
      <w:tr w:rsidR="00F34827" w:rsidTr="00A97AB0">
        <w:tc>
          <w:tcPr>
            <w:tcW w:w="4135" w:type="dxa"/>
          </w:tcPr>
          <w:p w:rsidR="00F34827" w:rsidRDefault="00F34827" w:rsidP="00F34827">
            <w:pPr>
              <w:rPr>
                <w:rFonts w:ascii="Arial" w:hAnsi="Arial" w:cs="Arial"/>
                <w:sz w:val="20"/>
                <w:szCs w:val="20"/>
              </w:rPr>
            </w:pPr>
          </w:p>
        </w:tc>
        <w:tc>
          <w:tcPr>
            <w:tcW w:w="6655" w:type="dxa"/>
          </w:tcPr>
          <w:p w:rsidR="00F34827" w:rsidRDefault="00F34827" w:rsidP="00F34827">
            <w:pPr>
              <w:rPr>
                <w:rFonts w:ascii="Arial Narrow" w:hAnsi="Arial Narrow" w:cs="Lucida Sans Unicode"/>
                <w:sz w:val="20"/>
                <w:szCs w:val="20"/>
              </w:rPr>
            </w:pP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Underlying</w:t>
            </w:r>
          </w:p>
        </w:tc>
        <w:tc>
          <w:tcPr>
            <w:tcW w:w="6655" w:type="dxa"/>
          </w:tcPr>
          <w:p w:rsidR="00F34827" w:rsidRDefault="00A97AB0" w:rsidP="00A97AB0">
            <w:pPr>
              <w:rPr>
                <w:rFonts w:ascii="Arial Narrow" w:hAnsi="Arial Narrow" w:cs="Lucida Sans Unicode"/>
                <w:sz w:val="20"/>
                <w:szCs w:val="20"/>
              </w:rPr>
            </w:pPr>
            <w:r>
              <w:rPr>
                <w:rFonts w:ascii="Arial Narrow" w:hAnsi="Arial Narrow" w:cs="Lucida Sans Unicode"/>
                <w:sz w:val="20"/>
                <w:szCs w:val="20"/>
              </w:rPr>
              <w:t>First Federal Yin Ltd., ISIN:  CA6330671034</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Description</w:t>
            </w:r>
          </w:p>
        </w:tc>
        <w:tc>
          <w:tcPr>
            <w:tcW w:w="6655" w:type="dxa"/>
          </w:tcPr>
          <w:p w:rsidR="00F34827" w:rsidRDefault="00A97AB0" w:rsidP="00977EE8">
            <w:pPr>
              <w:rPr>
                <w:rFonts w:ascii="Arial Narrow" w:hAnsi="Arial Narrow" w:cs="Lucida Sans Unicode"/>
                <w:sz w:val="20"/>
                <w:szCs w:val="20"/>
              </w:rPr>
            </w:pPr>
            <w:r>
              <w:rPr>
                <w:rFonts w:ascii="Arial Narrow" w:hAnsi="Arial Narrow" w:cs="Lucida Sans Unicode"/>
                <w:sz w:val="20"/>
                <w:szCs w:val="20"/>
              </w:rPr>
              <w:t xml:space="preserve">The </w:t>
            </w:r>
            <w:r w:rsidR="00977EE8">
              <w:rPr>
                <w:rFonts w:ascii="Arial Narrow" w:hAnsi="Arial Narrow" w:cs="Lucida Sans Unicode"/>
                <w:sz w:val="20"/>
                <w:szCs w:val="20"/>
              </w:rPr>
              <w:t xml:space="preserve">Dynamic </w:t>
            </w:r>
            <w:r>
              <w:rPr>
                <w:rFonts w:ascii="Arial Narrow" w:hAnsi="Arial Narrow" w:cs="Lucida Sans Unicode"/>
                <w:sz w:val="20"/>
                <w:szCs w:val="20"/>
              </w:rPr>
              <w:t>Index consists of two securities</w:t>
            </w:r>
            <w:r w:rsidR="00977EE8">
              <w:rPr>
                <w:rFonts w:ascii="Arial Narrow" w:hAnsi="Arial Narrow" w:cs="Lucida Sans Unicode"/>
                <w:sz w:val="20"/>
                <w:szCs w:val="20"/>
              </w:rPr>
              <w:t xml:space="preserve"> (Index Components)</w:t>
            </w:r>
            <w:r>
              <w:rPr>
                <w:rFonts w:ascii="Arial Narrow" w:hAnsi="Arial Narrow" w:cs="Lucida Sans Unicode"/>
                <w:sz w:val="20"/>
                <w:szCs w:val="20"/>
              </w:rPr>
              <w:t>.  The weighting of the Index Components</w:t>
            </w:r>
            <w:r w:rsidR="00977EE8">
              <w:rPr>
                <w:rFonts w:ascii="Arial Narrow" w:hAnsi="Arial Narrow" w:cs="Lucida Sans Unicode"/>
                <w:sz w:val="20"/>
                <w:szCs w:val="20"/>
              </w:rPr>
              <w:t xml:space="preserve"> in the Dynamic Index</w:t>
            </w:r>
            <w:r>
              <w:rPr>
                <w:rFonts w:ascii="Arial Narrow" w:hAnsi="Arial Narrow" w:cs="Lucida Sans Unicode"/>
                <w:sz w:val="20"/>
                <w:szCs w:val="20"/>
              </w:rPr>
              <w:t xml:space="preserve"> are determined by a pre-defined </w:t>
            </w:r>
            <w:r w:rsidR="00977EE8">
              <w:rPr>
                <w:rFonts w:ascii="Arial Narrow" w:hAnsi="Arial Narrow" w:cs="Lucida Sans Unicode"/>
                <w:sz w:val="20"/>
                <w:szCs w:val="20"/>
              </w:rPr>
              <w:t xml:space="preserve">Dynamic </w:t>
            </w:r>
            <w:r>
              <w:rPr>
                <w:rFonts w:ascii="Arial Narrow" w:hAnsi="Arial Narrow" w:cs="Lucida Sans Unicode"/>
                <w:sz w:val="20"/>
                <w:szCs w:val="20"/>
              </w:rPr>
              <w:t>Algorithm.</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Management Fee</w:t>
            </w:r>
          </w:p>
        </w:tc>
        <w:tc>
          <w:tcPr>
            <w:tcW w:w="6655" w:type="dxa"/>
          </w:tcPr>
          <w:p w:rsidR="00F34827" w:rsidRDefault="00F34827" w:rsidP="00977EE8">
            <w:pPr>
              <w:rPr>
                <w:rFonts w:ascii="Arial Narrow" w:hAnsi="Arial Narrow" w:cs="Lucida Sans Unicode"/>
                <w:sz w:val="20"/>
                <w:szCs w:val="20"/>
              </w:rPr>
            </w:pPr>
            <w:r>
              <w:rPr>
                <w:rFonts w:ascii="Arial Narrow" w:hAnsi="Arial Narrow" w:cs="Lucida Sans Unicode"/>
                <w:sz w:val="20"/>
                <w:szCs w:val="20"/>
              </w:rPr>
              <w:t xml:space="preserve">0.001% to 0.002% </w:t>
            </w:r>
            <w:r w:rsidR="00977EE8">
              <w:rPr>
                <w:rFonts w:ascii="Arial Narrow" w:hAnsi="Arial Narrow" w:cs="Lucida Sans Unicode"/>
                <w:sz w:val="20"/>
                <w:szCs w:val="20"/>
              </w:rPr>
              <w:t>per month on the Dynamic Index (1.21% to 2.43% p.a.)</w:t>
            </w:r>
          </w:p>
        </w:tc>
      </w:tr>
      <w:tr w:rsidR="00F34827" w:rsidTr="00A97AB0">
        <w:tc>
          <w:tcPr>
            <w:tcW w:w="4135" w:type="dxa"/>
          </w:tcPr>
          <w:p w:rsidR="00F34827" w:rsidRDefault="00F34827" w:rsidP="00F34827">
            <w:pPr>
              <w:rPr>
                <w:rFonts w:ascii="Arial" w:hAnsi="Arial" w:cs="Arial"/>
                <w:sz w:val="20"/>
                <w:szCs w:val="20"/>
              </w:rPr>
            </w:pPr>
          </w:p>
        </w:tc>
        <w:tc>
          <w:tcPr>
            <w:tcW w:w="6655" w:type="dxa"/>
          </w:tcPr>
          <w:p w:rsidR="00F34827" w:rsidRDefault="00F34827" w:rsidP="00F34827">
            <w:pPr>
              <w:rPr>
                <w:rFonts w:ascii="Arial Narrow" w:hAnsi="Arial Narrow" w:cs="Lucida Sans Unicode"/>
                <w:sz w:val="20"/>
                <w:szCs w:val="20"/>
              </w:rPr>
            </w:pP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Reuters Quotation</w:t>
            </w:r>
          </w:p>
        </w:tc>
        <w:tc>
          <w:tcPr>
            <w:tcW w:w="6655" w:type="dxa"/>
          </w:tcPr>
          <w:p w:rsidR="00F34827" w:rsidRDefault="00A97AB0" w:rsidP="00F34827">
            <w:pPr>
              <w:rPr>
                <w:rFonts w:ascii="Arial Narrow" w:hAnsi="Arial Narrow" w:cs="Lucida Sans Unicode"/>
                <w:sz w:val="20"/>
                <w:szCs w:val="20"/>
              </w:rPr>
            </w:pPr>
            <w:r>
              <w:rPr>
                <w:rFonts w:ascii="Arial Narrow" w:hAnsi="Arial Narrow" w:cs="Lucida Sans Unicode"/>
                <w:sz w:val="20"/>
                <w:szCs w:val="20"/>
              </w:rPr>
              <w:t>Altrus</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Bloomberg Quotation</w:t>
            </w:r>
          </w:p>
        </w:tc>
        <w:tc>
          <w:tcPr>
            <w:tcW w:w="6655" w:type="dxa"/>
          </w:tcPr>
          <w:p w:rsidR="00F34827" w:rsidRDefault="00A97AB0" w:rsidP="00F34827">
            <w:pPr>
              <w:rPr>
                <w:rFonts w:ascii="Arial Narrow" w:hAnsi="Arial Narrow" w:cs="Lucida Sans Unicode"/>
                <w:sz w:val="20"/>
                <w:szCs w:val="20"/>
              </w:rPr>
            </w:pPr>
            <w:r>
              <w:rPr>
                <w:rFonts w:ascii="Arial Narrow" w:hAnsi="Arial Narrow" w:cs="Lucida Sans Unicode"/>
                <w:sz w:val="20"/>
                <w:szCs w:val="20"/>
              </w:rPr>
              <w:t>NMDP &lt;GO&gt; Certificates</w:t>
            </w:r>
          </w:p>
        </w:tc>
      </w:tr>
      <w:tr w:rsidR="00F34827" w:rsidTr="00A97AB0">
        <w:tc>
          <w:tcPr>
            <w:tcW w:w="4135" w:type="dxa"/>
          </w:tcPr>
          <w:p w:rsidR="00F34827" w:rsidRDefault="00F34827" w:rsidP="00F34827">
            <w:pPr>
              <w:rPr>
                <w:rFonts w:ascii="Arial" w:hAnsi="Arial" w:cs="Arial"/>
                <w:sz w:val="20"/>
                <w:szCs w:val="20"/>
              </w:rPr>
            </w:pPr>
            <w:r>
              <w:rPr>
                <w:rFonts w:ascii="Arial" w:hAnsi="Arial" w:cs="Arial"/>
                <w:sz w:val="20"/>
                <w:szCs w:val="20"/>
              </w:rPr>
              <w:t>Secondary Market / Liquidity</w:t>
            </w:r>
          </w:p>
        </w:tc>
        <w:tc>
          <w:tcPr>
            <w:tcW w:w="6655" w:type="dxa"/>
          </w:tcPr>
          <w:p w:rsidR="00F34827" w:rsidRDefault="00A97AB0" w:rsidP="00F34827">
            <w:pPr>
              <w:rPr>
                <w:rFonts w:ascii="Arial Narrow" w:hAnsi="Arial Narrow" w:cs="Lucida Sans Unicode"/>
                <w:sz w:val="20"/>
                <w:szCs w:val="20"/>
              </w:rPr>
            </w:pPr>
            <w:r>
              <w:rPr>
                <w:rFonts w:ascii="Arial Narrow" w:hAnsi="Arial Narrow" w:cs="Lucida Sans Unicode"/>
                <w:sz w:val="20"/>
                <w:szCs w:val="20"/>
              </w:rPr>
              <w:t>The issuer offers under normal market conditions a secondary market with a bid-/offer- spread of 2% during the first 2 years, and a spread of 1% beginning on the 3</w:t>
            </w:r>
            <w:r w:rsidRPr="00A97AB0">
              <w:rPr>
                <w:rFonts w:ascii="Arial Narrow" w:hAnsi="Arial Narrow" w:cs="Lucida Sans Unicode"/>
                <w:sz w:val="20"/>
                <w:szCs w:val="20"/>
                <w:vertAlign w:val="superscript"/>
              </w:rPr>
              <w:t>rd</w:t>
            </w:r>
            <w:r>
              <w:rPr>
                <w:rFonts w:ascii="Arial Narrow" w:hAnsi="Arial Narrow" w:cs="Lucida Sans Unicode"/>
                <w:sz w:val="20"/>
                <w:szCs w:val="20"/>
              </w:rPr>
              <w:t xml:space="preserve"> year</w:t>
            </w:r>
          </w:p>
        </w:tc>
      </w:tr>
      <w:tr w:rsidR="00F34827" w:rsidTr="00A97AB0">
        <w:tc>
          <w:tcPr>
            <w:tcW w:w="4135" w:type="dxa"/>
          </w:tcPr>
          <w:p w:rsidR="00F34827" w:rsidRDefault="00A97AB0" w:rsidP="00A97AB0">
            <w:pPr>
              <w:tabs>
                <w:tab w:val="left" w:pos="1065"/>
              </w:tabs>
              <w:rPr>
                <w:rFonts w:ascii="Arial" w:hAnsi="Arial" w:cs="Arial"/>
                <w:sz w:val="20"/>
                <w:szCs w:val="20"/>
              </w:rPr>
            </w:pPr>
            <w:r>
              <w:rPr>
                <w:rFonts w:ascii="Arial" w:hAnsi="Arial" w:cs="Arial"/>
                <w:sz w:val="20"/>
                <w:szCs w:val="20"/>
              </w:rPr>
              <w:t>Minimum Trading Size</w:t>
            </w:r>
          </w:p>
        </w:tc>
        <w:tc>
          <w:tcPr>
            <w:tcW w:w="6655" w:type="dxa"/>
          </w:tcPr>
          <w:p w:rsidR="00F34827" w:rsidRDefault="00A97AB0" w:rsidP="00F34827">
            <w:pPr>
              <w:rPr>
                <w:rFonts w:ascii="Arial Narrow" w:hAnsi="Arial Narrow" w:cs="Lucida Sans Unicode"/>
                <w:sz w:val="20"/>
                <w:szCs w:val="20"/>
              </w:rPr>
            </w:pPr>
            <w:r>
              <w:rPr>
                <w:rFonts w:ascii="Arial Narrow" w:hAnsi="Arial Narrow" w:cs="Lucida Sans Unicode"/>
                <w:sz w:val="20"/>
                <w:szCs w:val="20"/>
              </w:rPr>
              <w:t>1 Certificate</w:t>
            </w:r>
          </w:p>
        </w:tc>
      </w:tr>
      <w:tr w:rsidR="00A97AB0" w:rsidTr="00A97AB0">
        <w:tc>
          <w:tcPr>
            <w:tcW w:w="4135" w:type="dxa"/>
          </w:tcPr>
          <w:p w:rsidR="00A97AB0" w:rsidRDefault="00A97AB0" w:rsidP="00A97AB0">
            <w:pPr>
              <w:rPr>
                <w:rFonts w:ascii="Arial" w:hAnsi="Arial" w:cs="Arial"/>
                <w:sz w:val="20"/>
                <w:szCs w:val="20"/>
              </w:rPr>
            </w:pPr>
            <w:r>
              <w:rPr>
                <w:rFonts w:ascii="Arial" w:hAnsi="Arial" w:cs="Arial"/>
                <w:sz w:val="20"/>
                <w:szCs w:val="20"/>
              </w:rPr>
              <w:t>Selling Restrictions</w:t>
            </w:r>
          </w:p>
        </w:tc>
        <w:tc>
          <w:tcPr>
            <w:tcW w:w="6655" w:type="dxa"/>
          </w:tcPr>
          <w:p w:rsidR="00A97AB0" w:rsidRDefault="00A97AB0" w:rsidP="00A97AB0">
            <w:pPr>
              <w:rPr>
                <w:rFonts w:ascii="Arial Narrow" w:hAnsi="Arial Narrow" w:cs="Lucida Sans Unicode"/>
                <w:sz w:val="20"/>
                <w:szCs w:val="20"/>
              </w:rPr>
            </w:pPr>
            <w:r>
              <w:rPr>
                <w:rFonts w:ascii="Arial Narrow" w:hAnsi="Arial Narrow" w:cs="Lucida Sans Unicode"/>
                <w:sz w:val="20"/>
                <w:szCs w:val="20"/>
              </w:rPr>
              <w:t>USA, US-Investors</w:t>
            </w:r>
          </w:p>
        </w:tc>
      </w:tr>
      <w:tr w:rsidR="00A97AB0" w:rsidTr="00A97AB0">
        <w:tc>
          <w:tcPr>
            <w:tcW w:w="4135" w:type="dxa"/>
          </w:tcPr>
          <w:p w:rsidR="00A97AB0" w:rsidRDefault="00A97AB0" w:rsidP="00A97AB0">
            <w:pPr>
              <w:rPr>
                <w:rFonts w:ascii="Arial" w:hAnsi="Arial" w:cs="Arial"/>
                <w:sz w:val="20"/>
                <w:szCs w:val="20"/>
              </w:rPr>
            </w:pPr>
          </w:p>
        </w:tc>
        <w:tc>
          <w:tcPr>
            <w:tcW w:w="6655" w:type="dxa"/>
          </w:tcPr>
          <w:p w:rsidR="00A97AB0" w:rsidRDefault="00A97AB0" w:rsidP="00A97AB0">
            <w:pPr>
              <w:rPr>
                <w:rFonts w:ascii="Arial Narrow" w:hAnsi="Arial Narrow" w:cs="Lucida Sans Unicode"/>
                <w:sz w:val="20"/>
                <w:szCs w:val="20"/>
              </w:rPr>
            </w:pPr>
          </w:p>
        </w:tc>
      </w:tr>
      <w:tr w:rsidR="00A97AB0" w:rsidTr="00A97AB0">
        <w:tc>
          <w:tcPr>
            <w:tcW w:w="4135" w:type="dxa"/>
          </w:tcPr>
          <w:p w:rsidR="00A97AB0" w:rsidRDefault="00A97AB0" w:rsidP="00A97AB0">
            <w:pPr>
              <w:rPr>
                <w:rFonts w:ascii="Arial" w:hAnsi="Arial" w:cs="Arial"/>
                <w:sz w:val="20"/>
                <w:szCs w:val="20"/>
              </w:rPr>
            </w:pPr>
            <w:r>
              <w:rPr>
                <w:rFonts w:ascii="Arial" w:hAnsi="Arial" w:cs="Arial"/>
                <w:sz w:val="20"/>
                <w:szCs w:val="20"/>
              </w:rPr>
              <w:t>Clearing</w:t>
            </w:r>
          </w:p>
        </w:tc>
        <w:tc>
          <w:tcPr>
            <w:tcW w:w="6655" w:type="dxa"/>
          </w:tcPr>
          <w:p w:rsidR="00A97AB0" w:rsidRDefault="00A97AB0" w:rsidP="00A97AB0">
            <w:pPr>
              <w:rPr>
                <w:rFonts w:ascii="Arial Narrow" w:hAnsi="Arial Narrow" w:cs="Lucida Sans Unicode"/>
                <w:sz w:val="20"/>
                <w:szCs w:val="20"/>
              </w:rPr>
            </w:pPr>
            <w:r>
              <w:rPr>
                <w:rFonts w:ascii="Arial Narrow" w:hAnsi="Arial Narrow" w:cs="Lucida Sans Unicode"/>
                <w:sz w:val="20"/>
                <w:szCs w:val="20"/>
              </w:rPr>
              <w:t>Euroclear / Clearstream</w:t>
            </w:r>
          </w:p>
        </w:tc>
      </w:tr>
      <w:tr w:rsidR="00A97AB0" w:rsidTr="00A97AB0">
        <w:tc>
          <w:tcPr>
            <w:tcW w:w="4135" w:type="dxa"/>
          </w:tcPr>
          <w:p w:rsidR="00A97AB0" w:rsidRDefault="00A97AB0" w:rsidP="00A97AB0">
            <w:pPr>
              <w:rPr>
                <w:rFonts w:ascii="Arial" w:hAnsi="Arial" w:cs="Arial"/>
                <w:sz w:val="20"/>
                <w:szCs w:val="20"/>
              </w:rPr>
            </w:pPr>
            <w:r>
              <w:rPr>
                <w:rFonts w:ascii="Arial" w:hAnsi="Arial" w:cs="Arial"/>
                <w:sz w:val="20"/>
                <w:szCs w:val="20"/>
              </w:rPr>
              <w:t>Business Days</w:t>
            </w:r>
          </w:p>
        </w:tc>
        <w:tc>
          <w:tcPr>
            <w:tcW w:w="6655" w:type="dxa"/>
          </w:tcPr>
          <w:p w:rsidR="00A97AB0" w:rsidRDefault="00A97AB0" w:rsidP="00A97AB0">
            <w:pPr>
              <w:rPr>
                <w:rFonts w:ascii="Arial Narrow" w:hAnsi="Arial Narrow" w:cs="Lucida Sans Unicode"/>
                <w:sz w:val="20"/>
                <w:szCs w:val="20"/>
              </w:rPr>
            </w:pPr>
            <w:r>
              <w:rPr>
                <w:rFonts w:ascii="Arial Narrow" w:hAnsi="Arial Narrow" w:cs="Lucida Sans Unicode"/>
                <w:sz w:val="20"/>
                <w:szCs w:val="20"/>
              </w:rPr>
              <w:t>London, Zurich and New York</w:t>
            </w:r>
          </w:p>
        </w:tc>
      </w:tr>
      <w:tr w:rsidR="00A97AB0" w:rsidTr="00A97AB0">
        <w:tc>
          <w:tcPr>
            <w:tcW w:w="4135" w:type="dxa"/>
          </w:tcPr>
          <w:p w:rsidR="00A97AB0" w:rsidRDefault="00A97AB0" w:rsidP="00A97AB0">
            <w:pPr>
              <w:rPr>
                <w:rFonts w:ascii="Arial" w:hAnsi="Arial" w:cs="Arial"/>
                <w:sz w:val="20"/>
                <w:szCs w:val="20"/>
              </w:rPr>
            </w:pPr>
            <w:r>
              <w:rPr>
                <w:rFonts w:ascii="Arial" w:hAnsi="Arial" w:cs="Arial"/>
                <w:sz w:val="20"/>
                <w:szCs w:val="20"/>
              </w:rPr>
              <w:t>Listing</w:t>
            </w:r>
          </w:p>
        </w:tc>
        <w:tc>
          <w:tcPr>
            <w:tcW w:w="6655" w:type="dxa"/>
          </w:tcPr>
          <w:p w:rsidR="00A97AB0" w:rsidRDefault="00A97AB0" w:rsidP="00A97AB0">
            <w:pPr>
              <w:rPr>
                <w:rFonts w:ascii="Arial Narrow" w:hAnsi="Arial Narrow" w:cs="Lucida Sans Unicode"/>
                <w:sz w:val="20"/>
                <w:szCs w:val="20"/>
              </w:rPr>
            </w:pPr>
            <w:r>
              <w:rPr>
                <w:rFonts w:ascii="Arial Narrow" w:hAnsi="Arial Narrow" w:cs="Lucida Sans Unicode"/>
                <w:sz w:val="20"/>
                <w:szCs w:val="20"/>
              </w:rPr>
              <w:t>EUWAX</w:t>
            </w:r>
          </w:p>
        </w:tc>
      </w:tr>
      <w:tr w:rsidR="00A97AB0" w:rsidTr="00A97AB0">
        <w:tc>
          <w:tcPr>
            <w:tcW w:w="4135" w:type="dxa"/>
          </w:tcPr>
          <w:p w:rsidR="00A97AB0" w:rsidRDefault="00A97AB0" w:rsidP="00A97AB0">
            <w:pPr>
              <w:rPr>
                <w:rFonts w:ascii="Arial" w:hAnsi="Arial" w:cs="Arial"/>
                <w:sz w:val="20"/>
                <w:szCs w:val="20"/>
              </w:rPr>
            </w:pPr>
            <w:r>
              <w:rPr>
                <w:rFonts w:ascii="Arial" w:hAnsi="Arial" w:cs="Arial"/>
                <w:sz w:val="20"/>
                <w:szCs w:val="20"/>
              </w:rPr>
              <w:t>ISIN / Valor</w:t>
            </w:r>
          </w:p>
        </w:tc>
        <w:tc>
          <w:tcPr>
            <w:tcW w:w="6655" w:type="dxa"/>
          </w:tcPr>
          <w:p w:rsidR="00A97AB0" w:rsidRDefault="00A97AB0" w:rsidP="00A97AB0">
            <w:pPr>
              <w:rPr>
                <w:rFonts w:ascii="Arial Narrow" w:hAnsi="Arial Narrow" w:cs="Lucida Sans Unicode"/>
                <w:sz w:val="20"/>
                <w:szCs w:val="20"/>
              </w:rPr>
            </w:pPr>
            <w:r>
              <w:rPr>
                <w:rFonts w:ascii="Arial Narrow" w:hAnsi="Arial Narrow" w:cs="Lucida Sans Unicode"/>
                <w:sz w:val="20"/>
                <w:szCs w:val="20"/>
              </w:rPr>
              <w:t xml:space="preserve">CA6330671034 / 694912 </w:t>
            </w:r>
          </w:p>
        </w:tc>
      </w:tr>
    </w:tbl>
    <w:p w:rsidR="00A97AB0" w:rsidRDefault="00A97AB0"/>
    <w:tbl>
      <w:tblPr>
        <w:tblStyle w:val="TableGrid"/>
        <w:tblW w:w="0" w:type="auto"/>
        <w:tblLook w:val="04A0" w:firstRow="1" w:lastRow="0" w:firstColumn="1" w:lastColumn="0" w:noHBand="0" w:noVBand="1"/>
      </w:tblPr>
      <w:tblGrid>
        <w:gridCol w:w="4135"/>
        <w:gridCol w:w="6655"/>
      </w:tblGrid>
      <w:tr w:rsidR="00A97AB0" w:rsidTr="00A97AB0">
        <w:tc>
          <w:tcPr>
            <w:tcW w:w="4135" w:type="dxa"/>
          </w:tcPr>
          <w:p w:rsidR="00A97AB0" w:rsidRDefault="002B6711" w:rsidP="00A97AB0">
            <w:pPr>
              <w:rPr>
                <w:rFonts w:ascii="Arial" w:hAnsi="Arial" w:cs="Arial"/>
                <w:sz w:val="20"/>
                <w:szCs w:val="20"/>
              </w:rPr>
            </w:pPr>
            <w:r>
              <w:rPr>
                <w:rFonts w:ascii="Arial" w:hAnsi="Arial" w:cs="Arial"/>
                <w:sz w:val="20"/>
                <w:szCs w:val="20"/>
              </w:rPr>
              <w:t>Information</w:t>
            </w:r>
          </w:p>
        </w:tc>
        <w:tc>
          <w:tcPr>
            <w:tcW w:w="6655" w:type="dxa"/>
          </w:tcPr>
          <w:p w:rsidR="00977EE8" w:rsidRDefault="00977EE8" w:rsidP="00A97AB0">
            <w:pPr>
              <w:rPr>
                <w:rFonts w:ascii="Arial Narrow" w:hAnsi="Arial Narrow" w:cs="Lucida Sans Unicode"/>
                <w:sz w:val="20"/>
                <w:szCs w:val="20"/>
              </w:rPr>
            </w:pPr>
            <w:r>
              <w:rPr>
                <w:rFonts w:ascii="Arial Narrow" w:hAnsi="Arial Narrow" w:cs="Lucida Sans Unicode"/>
                <w:sz w:val="20"/>
                <w:szCs w:val="20"/>
              </w:rPr>
              <w:t>The selling prospectus is available at PNB Pure Native Bank Ltd., Zurich</w:t>
            </w:r>
          </w:p>
          <w:p w:rsidR="00977EE8" w:rsidRDefault="00977EE8" w:rsidP="00A97AB0">
            <w:pPr>
              <w:rPr>
                <w:rFonts w:ascii="Arial Narrow" w:hAnsi="Arial Narrow" w:cs="Lucida Sans Unicode"/>
                <w:sz w:val="20"/>
                <w:szCs w:val="20"/>
              </w:rPr>
            </w:pPr>
            <w:r>
              <w:rPr>
                <w:rFonts w:ascii="Arial Narrow" w:hAnsi="Arial Narrow" w:cs="Lucida Sans Unicode"/>
                <w:sz w:val="20"/>
                <w:szCs w:val="20"/>
              </w:rPr>
              <w:t xml:space="preserve">For further information please contact us by e-mail </w:t>
            </w:r>
            <w:hyperlink r:id="rId14" w:history="1">
              <w:r w:rsidRPr="00DE2737">
                <w:rPr>
                  <w:rStyle w:val="Hyperlink"/>
                  <w:rFonts w:ascii="Arial Narrow" w:hAnsi="Arial Narrow" w:cs="Lucida Sans Unicode"/>
                  <w:sz w:val="20"/>
                  <w:szCs w:val="20"/>
                </w:rPr>
                <w:t>info@pbn-bank.ch</w:t>
              </w:r>
            </w:hyperlink>
          </w:p>
          <w:p w:rsidR="00977EE8" w:rsidRPr="00977EE8" w:rsidRDefault="00977EE8" w:rsidP="00A97AB0">
            <w:pPr>
              <w:rPr>
                <w:rFonts w:ascii="Arial Narrow" w:hAnsi="Arial Narrow" w:cs="Lucida Sans Unicode"/>
                <w:b/>
                <w:sz w:val="20"/>
                <w:szCs w:val="20"/>
              </w:rPr>
            </w:pPr>
            <w:r>
              <w:rPr>
                <w:rFonts w:ascii="Arial Narrow" w:hAnsi="Arial Narrow" w:cs="Lucida Sans Unicode"/>
                <w:sz w:val="20"/>
                <w:szCs w:val="20"/>
              </w:rPr>
              <w:t xml:space="preserve">Or </w:t>
            </w:r>
            <w:r>
              <w:rPr>
                <w:rFonts w:ascii="Arial Narrow" w:hAnsi="Arial Narrow" w:cs="Lucida Sans Unicode"/>
                <w:b/>
                <w:sz w:val="20"/>
                <w:szCs w:val="20"/>
              </w:rPr>
              <w:t>Tel. +41 44 285 11 76</w:t>
            </w:r>
          </w:p>
        </w:tc>
      </w:tr>
    </w:tbl>
    <w:p w:rsidR="00F34827" w:rsidRDefault="00F34827" w:rsidP="00F34827">
      <w:pPr>
        <w:autoSpaceDE w:val="0"/>
        <w:autoSpaceDN w:val="0"/>
        <w:adjustRightInd w:val="0"/>
        <w:spacing w:after="0" w:line="240" w:lineRule="auto"/>
        <w:rPr>
          <w:rFonts w:ascii="Arial" w:hAnsi="Arial" w:cs="Arial"/>
          <w:b/>
          <w:bCs/>
          <w:color w:val="000081"/>
          <w:sz w:val="10"/>
          <w:szCs w:val="10"/>
        </w:rPr>
      </w:pPr>
    </w:p>
    <w:p w:rsidR="00A97AB0" w:rsidRPr="00107901" w:rsidRDefault="00A97AB0" w:rsidP="00F34827">
      <w:pPr>
        <w:autoSpaceDE w:val="0"/>
        <w:autoSpaceDN w:val="0"/>
        <w:adjustRightInd w:val="0"/>
        <w:spacing w:after="0" w:line="240" w:lineRule="auto"/>
        <w:rPr>
          <w:rFonts w:ascii="Arial" w:hAnsi="Arial" w:cs="Arial"/>
          <w:b/>
          <w:bCs/>
          <w:color w:val="000081"/>
          <w:sz w:val="10"/>
          <w:szCs w:val="10"/>
        </w:rPr>
      </w:pPr>
    </w:p>
    <w:tbl>
      <w:tblPr>
        <w:tblStyle w:val="TableGrid"/>
        <w:tblW w:w="10819" w:type="dxa"/>
        <w:tblLook w:val="04A0" w:firstRow="1" w:lastRow="0" w:firstColumn="1" w:lastColumn="0" w:noHBand="0" w:noVBand="1"/>
      </w:tblPr>
      <w:tblGrid>
        <w:gridCol w:w="10819"/>
      </w:tblGrid>
      <w:tr w:rsidR="00F34827" w:rsidTr="00A97AB0">
        <w:trPr>
          <w:trHeight w:val="1242"/>
        </w:trPr>
        <w:tc>
          <w:tcPr>
            <w:tcW w:w="10819" w:type="dxa"/>
          </w:tcPr>
          <w:p w:rsidR="00F34827" w:rsidRPr="00AF7475" w:rsidRDefault="00F34827" w:rsidP="00977EE8">
            <w:pPr>
              <w:autoSpaceDE w:val="0"/>
              <w:autoSpaceDN w:val="0"/>
              <w:adjustRightInd w:val="0"/>
            </w:pPr>
            <w:r w:rsidRPr="00977EE8">
              <w:rPr>
                <w:rFonts w:cs="Arial"/>
                <w:b/>
                <w:bCs/>
                <w:color w:val="000081"/>
                <w:sz w:val="18"/>
                <w:szCs w:val="18"/>
                <w:u w:val="single"/>
              </w:rPr>
              <w:t>Disclaimer</w:t>
            </w:r>
            <w:r w:rsidRPr="00977EE8">
              <w:rPr>
                <w:rFonts w:cs="Arial"/>
                <w:bCs/>
                <w:color w:val="000081"/>
                <w:sz w:val="18"/>
                <w:szCs w:val="18"/>
                <w:u w:val="single"/>
              </w:rPr>
              <w:t>:</w:t>
            </w:r>
            <w:r w:rsidRPr="00AF7475">
              <w:rPr>
                <w:rFonts w:cs="Arial"/>
                <w:bCs/>
                <w:color w:val="000081"/>
                <w:sz w:val="18"/>
                <w:szCs w:val="18"/>
              </w:rPr>
              <w:t xml:space="preserve">  </w:t>
            </w:r>
            <w:r w:rsidR="00977EE8">
              <w:rPr>
                <w:rFonts w:cs="Arial"/>
                <w:bCs/>
                <w:color w:val="000081"/>
                <w:sz w:val="18"/>
                <w:szCs w:val="18"/>
              </w:rPr>
              <w:t xml:space="preserve">This advertisement is not a prospectus as of Art. 652a resp Art. 1156 OR.  </w:t>
            </w:r>
            <w:r w:rsidRPr="00AF7475">
              <w:rPr>
                <w:rFonts w:cs="Arial"/>
                <w:bCs/>
                <w:color w:val="000081"/>
                <w:sz w:val="18"/>
                <w:szCs w:val="18"/>
              </w:rPr>
              <w:t>The above shown details are purely for information purposes and are neither an offer nor a recommendation to purchase financial products. The note is issued as a private placement. The Product is not governed by U.S. investment fund legislation. Therefore, the investor does not receive the protection of U.S.  Investment Fund Law. This advertisement is not a complete description of the terms of the financial product described herein. A positive performance in the past does not constitute any guarantee for a positive performance in the future. There is no capital protection</w:t>
            </w:r>
            <w:r w:rsidR="00977EE8">
              <w:rPr>
                <w:rFonts w:cs="Arial"/>
                <w:bCs/>
                <w:color w:val="000081"/>
                <w:sz w:val="18"/>
                <w:szCs w:val="18"/>
              </w:rPr>
              <w:t>, investments in foreign currencies are subject to exchange rate fluctuations</w:t>
            </w:r>
            <w:r w:rsidRPr="00AF7475">
              <w:rPr>
                <w:rFonts w:cs="Arial"/>
                <w:bCs/>
                <w:color w:val="000081"/>
                <w:sz w:val="18"/>
                <w:szCs w:val="18"/>
              </w:rPr>
              <w:t>.</w:t>
            </w:r>
          </w:p>
        </w:tc>
      </w:tr>
    </w:tbl>
    <w:p w:rsidR="00F34827" w:rsidRDefault="00F34827" w:rsidP="00F34827">
      <w:pPr>
        <w:rPr>
          <w:sz w:val="2"/>
          <w:szCs w:val="2"/>
        </w:rPr>
      </w:pPr>
    </w:p>
    <w:p w:rsidR="00F34827" w:rsidRDefault="00977EE8" w:rsidP="00977EE8">
      <w:pPr>
        <w:spacing w:after="0"/>
        <w:jc w:val="center"/>
        <w:rPr>
          <w:rFonts w:ascii="Arial Narrow" w:hAnsi="Arial Narrow" w:cs="Lucida Sans Unicode"/>
          <w:sz w:val="20"/>
          <w:szCs w:val="20"/>
        </w:rPr>
      </w:pPr>
      <w:r>
        <w:rPr>
          <w:rFonts w:ascii="Arial Narrow" w:hAnsi="Arial Narrow" w:cs="Lucida Sans Unicode"/>
          <w:sz w:val="20"/>
          <w:szCs w:val="20"/>
        </w:rPr>
        <w:t>PNB Pure Native Bank Ltd.</w:t>
      </w:r>
      <w:r>
        <w:rPr>
          <w:rFonts w:ascii="Arial Narrow" w:hAnsi="Arial Narrow" w:cs="Lucida Sans Unicode"/>
          <w:sz w:val="20"/>
          <w:szCs w:val="20"/>
        </w:rPr>
        <w:tab/>
        <w:t>Limmatquai 122</w:t>
      </w:r>
      <w:r>
        <w:rPr>
          <w:rFonts w:ascii="Arial Narrow" w:hAnsi="Arial Narrow" w:cs="Lucida Sans Unicode"/>
          <w:sz w:val="20"/>
          <w:szCs w:val="20"/>
        </w:rPr>
        <w:tab/>
        <w:t>P.O. Box 8022 Zurich/Switzerland</w:t>
      </w:r>
    </w:p>
    <w:p w:rsidR="00977EE8" w:rsidRPr="00F83CED" w:rsidRDefault="00977EE8" w:rsidP="00977EE8">
      <w:pPr>
        <w:spacing w:after="0"/>
        <w:jc w:val="center"/>
        <w:rPr>
          <w:rFonts w:ascii="Arial Narrow" w:hAnsi="Arial Narrow" w:cs="Lucida Sans Unicode"/>
          <w:sz w:val="20"/>
          <w:szCs w:val="20"/>
        </w:rPr>
      </w:pPr>
      <w:r>
        <w:rPr>
          <w:rFonts w:ascii="Arial Narrow" w:hAnsi="Arial Narrow" w:cs="Lucida Sans Unicode"/>
          <w:sz w:val="20"/>
          <w:szCs w:val="20"/>
        </w:rPr>
        <w:t>Tel. +41 44 25 11 88</w:t>
      </w:r>
      <w:r>
        <w:rPr>
          <w:rFonts w:ascii="Arial Narrow" w:hAnsi="Arial Narrow" w:cs="Lucida Sans Unicode"/>
          <w:sz w:val="20"/>
          <w:szCs w:val="20"/>
        </w:rPr>
        <w:tab/>
        <w:t>Fax +41 44 265 11 89</w:t>
      </w:r>
      <w:r>
        <w:rPr>
          <w:rFonts w:ascii="Arial Narrow" w:hAnsi="Arial Narrow" w:cs="Lucida Sans Unicode"/>
          <w:sz w:val="20"/>
          <w:szCs w:val="20"/>
        </w:rPr>
        <w:tab/>
        <w:t xml:space="preserve">email: </w:t>
      </w:r>
      <w:hyperlink r:id="rId15" w:history="1">
        <w:r w:rsidRPr="00DE2737">
          <w:rPr>
            <w:rStyle w:val="Hyperlink"/>
            <w:rFonts w:ascii="Arial Narrow" w:hAnsi="Arial Narrow" w:cs="Lucida Sans Unicode"/>
            <w:sz w:val="20"/>
            <w:szCs w:val="20"/>
          </w:rPr>
          <w:t>info@pnb-bank.ch</w:t>
        </w:r>
      </w:hyperlink>
    </w:p>
    <w:sectPr w:rsidR="00977EE8" w:rsidRPr="00F83CED" w:rsidSect="006B1FE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EA3" w:rsidRDefault="00EE3EA3" w:rsidP="001E47D0">
      <w:pPr>
        <w:spacing w:after="0" w:line="240" w:lineRule="auto"/>
      </w:pPr>
      <w:r>
        <w:separator/>
      </w:r>
    </w:p>
  </w:endnote>
  <w:endnote w:type="continuationSeparator" w:id="0">
    <w:p w:rsidR="00EE3EA3" w:rsidRDefault="00EE3EA3" w:rsidP="001E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lonna MT">
    <w:panose1 w:val="04020805060202030203"/>
    <w:charset w:val="00"/>
    <w:family w:val="decorativ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EA3" w:rsidRDefault="00EE3EA3" w:rsidP="001E47D0">
      <w:pPr>
        <w:spacing w:after="0" w:line="240" w:lineRule="auto"/>
      </w:pPr>
      <w:r>
        <w:separator/>
      </w:r>
    </w:p>
  </w:footnote>
  <w:footnote w:type="continuationSeparator" w:id="0">
    <w:p w:rsidR="00EE3EA3" w:rsidRDefault="00EE3EA3" w:rsidP="001E4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C1F3D"/>
    <w:multiLevelType w:val="hybridMultilevel"/>
    <w:tmpl w:val="A1687CA8"/>
    <w:lvl w:ilvl="0" w:tplc="29645C0C">
      <w:start w:val="2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67EDC"/>
    <w:multiLevelType w:val="hybridMultilevel"/>
    <w:tmpl w:val="85F80A24"/>
    <w:lvl w:ilvl="0" w:tplc="A43031D0">
      <w:start w:val="1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01"/>
    <w:rsid w:val="0000226E"/>
    <w:rsid w:val="00100AEB"/>
    <w:rsid w:val="001066BB"/>
    <w:rsid w:val="00107901"/>
    <w:rsid w:val="00136365"/>
    <w:rsid w:val="001873FC"/>
    <w:rsid w:val="001B26C4"/>
    <w:rsid w:val="001E47D0"/>
    <w:rsid w:val="00214936"/>
    <w:rsid w:val="00220C83"/>
    <w:rsid w:val="0023067C"/>
    <w:rsid w:val="00233570"/>
    <w:rsid w:val="00240315"/>
    <w:rsid w:val="0024642F"/>
    <w:rsid w:val="002513BF"/>
    <w:rsid w:val="00282E79"/>
    <w:rsid w:val="00295782"/>
    <w:rsid w:val="002959F8"/>
    <w:rsid w:val="002B6711"/>
    <w:rsid w:val="002C0919"/>
    <w:rsid w:val="002F36FC"/>
    <w:rsid w:val="00355F0B"/>
    <w:rsid w:val="00374457"/>
    <w:rsid w:val="003C4166"/>
    <w:rsid w:val="003D0A6F"/>
    <w:rsid w:val="003E57DB"/>
    <w:rsid w:val="0040091B"/>
    <w:rsid w:val="00402B53"/>
    <w:rsid w:val="00421501"/>
    <w:rsid w:val="004273D9"/>
    <w:rsid w:val="004427FA"/>
    <w:rsid w:val="00450C68"/>
    <w:rsid w:val="00473F0F"/>
    <w:rsid w:val="00474029"/>
    <w:rsid w:val="004C5F01"/>
    <w:rsid w:val="00501367"/>
    <w:rsid w:val="0050577D"/>
    <w:rsid w:val="0059173B"/>
    <w:rsid w:val="005D4F9E"/>
    <w:rsid w:val="005E20C1"/>
    <w:rsid w:val="005E35EC"/>
    <w:rsid w:val="005F13B3"/>
    <w:rsid w:val="00607D03"/>
    <w:rsid w:val="00631BED"/>
    <w:rsid w:val="00664A51"/>
    <w:rsid w:val="0068117E"/>
    <w:rsid w:val="006B1FEE"/>
    <w:rsid w:val="006C1D29"/>
    <w:rsid w:val="006C6DDA"/>
    <w:rsid w:val="006D08FB"/>
    <w:rsid w:val="006D135C"/>
    <w:rsid w:val="0072250C"/>
    <w:rsid w:val="00724E5F"/>
    <w:rsid w:val="00732769"/>
    <w:rsid w:val="007662D1"/>
    <w:rsid w:val="007972C0"/>
    <w:rsid w:val="00873AB8"/>
    <w:rsid w:val="00890A29"/>
    <w:rsid w:val="009200CB"/>
    <w:rsid w:val="00932A9E"/>
    <w:rsid w:val="00933F8B"/>
    <w:rsid w:val="00943A88"/>
    <w:rsid w:val="00977EE8"/>
    <w:rsid w:val="009E60DD"/>
    <w:rsid w:val="00A00C14"/>
    <w:rsid w:val="00A13850"/>
    <w:rsid w:val="00A715E1"/>
    <w:rsid w:val="00A7631C"/>
    <w:rsid w:val="00A779EB"/>
    <w:rsid w:val="00A805CF"/>
    <w:rsid w:val="00A97AB0"/>
    <w:rsid w:val="00AC6EE5"/>
    <w:rsid w:val="00AC7533"/>
    <w:rsid w:val="00AD21EB"/>
    <w:rsid w:val="00AD7869"/>
    <w:rsid w:val="00AF7475"/>
    <w:rsid w:val="00B120F6"/>
    <w:rsid w:val="00B20D40"/>
    <w:rsid w:val="00B710D4"/>
    <w:rsid w:val="00B81EC9"/>
    <w:rsid w:val="00BA4144"/>
    <w:rsid w:val="00BA62ED"/>
    <w:rsid w:val="00BA7D8E"/>
    <w:rsid w:val="00BB020E"/>
    <w:rsid w:val="00BC7178"/>
    <w:rsid w:val="00C06AAF"/>
    <w:rsid w:val="00C135E8"/>
    <w:rsid w:val="00C20EF1"/>
    <w:rsid w:val="00C524CB"/>
    <w:rsid w:val="00C649E9"/>
    <w:rsid w:val="00CD6260"/>
    <w:rsid w:val="00D01ADB"/>
    <w:rsid w:val="00D557FE"/>
    <w:rsid w:val="00DC52A2"/>
    <w:rsid w:val="00DD6CB7"/>
    <w:rsid w:val="00E06C0F"/>
    <w:rsid w:val="00E161CF"/>
    <w:rsid w:val="00E368A3"/>
    <w:rsid w:val="00E91908"/>
    <w:rsid w:val="00E92FC4"/>
    <w:rsid w:val="00ED31BF"/>
    <w:rsid w:val="00ED435F"/>
    <w:rsid w:val="00ED76A4"/>
    <w:rsid w:val="00EE3EA3"/>
    <w:rsid w:val="00EE7E05"/>
    <w:rsid w:val="00EF4474"/>
    <w:rsid w:val="00F038C1"/>
    <w:rsid w:val="00F34827"/>
    <w:rsid w:val="00F61C7C"/>
    <w:rsid w:val="00F704EA"/>
    <w:rsid w:val="00F758D9"/>
    <w:rsid w:val="00F83CED"/>
    <w:rsid w:val="00FC5561"/>
    <w:rsid w:val="00FD0307"/>
    <w:rsid w:val="00FE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3973D8-668C-4E45-B197-ED8C236E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5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CB7"/>
    <w:pPr>
      <w:ind w:left="720"/>
      <w:contextualSpacing/>
    </w:pPr>
  </w:style>
  <w:style w:type="paragraph" w:styleId="BalloonText">
    <w:name w:val="Balloon Text"/>
    <w:basedOn w:val="Normal"/>
    <w:link w:val="BalloonTextChar"/>
    <w:uiPriority w:val="99"/>
    <w:semiHidden/>
    <w:unhideWhenUsed/>
    <w:rsid w:val="00F61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7C"/>
    <w:rPr>
      <w:rFonts w:ascii="Tahoma" w:hAnsi="Tahoma" w:cs="Tahoma"/>
      <w:sz w:val="16"/>
      <w:szCs w:val="16"/>
    </w:rPr>
  </w:style>
  <w:style w:type="character" w:styleId="Hyperlink">
    <w:name w:val="Hyperlink"/>
    <w:basedOn w:val="DefaultParagraphFont"/>
    <w:uiPriority w:val="99"/>
    <w:unhideWhenUsed/>
    <w:rsid w:val="00FC5561"/>
    <w:rPr>
      <w:color w:val="0563C1"/>
      <w:u w:val="single"/>
    </w:rPr>
  </w:style>
  <w:style w:type="character" w:styleId="FollowedHyperlink">
    <w:name w:val="FollowedHyperlink"/>
    <w:basedOn w:val="DefaultParagraphFont"/>
    <w:uiPriority w:val="99"/>
    <w:semiHidden/>
    <w:unhideWhenUsed/>
    <w:rsid w:val="00FC5561"/>
    <w:rPr>
      <w:color w:val="954F72"/>
      <w:u w:val="single"/>
    </w:rPr>
  </w:style>
  <w:style w:type="paragraph" w:customStyle="1" w:styleId="xl65">
    <w:name w:val="xl65"/>
    <w:basedOn w:val="Normal"/>
    <w:rsid w:val="00FC5561"/>
    <w:pPr>
      <w:spacing w:before="100" w:beforeAutospacing="1" w:after="100" w:afterAutospacing="1" w:line="240" w:lineRule="auto"/>
    </w:pPr>
    <w:rPr>
      <w:rFonts w:ascii="Courier New" w:eastAsia="Times New Roman" w:hAnsi="Courier New" w:cs="Courier New"/>
      <w:sz w:val="24"/>
      <w:szCs w:val="24"/>
    </w:rPr>
  </w:style>
  <w:style w:type="paragraph" w:customStyle="1" w:styleId="xl66">
    <w:name w:val="xl66"/>
    <w:basedOn w:val="Normal"/>
    <w:rsid w:val="00FC5561"/>
    <w:pPr>
      <w:spacing w:before="100" w:beforeAutospacing="1" w:after="100" w:afterAutospacing="1" w:line="240" w:lineRule="auto"/>
    </w:pPr>
    <w:rPr>
      <w:rFonts w:ascii="Courier New" w:eastAsia="Times New Roman" w:hAnsi="Courier New" w:cs="Courier New"/>
      <w:sz w:val="24"/>
      <w:szCs w:val="24"/>
    </w:rPr>
  </w:style>
  <w:style w:type="paragraph" w:customStyle="1" w:styleId="xl67">
    <w:name w:val="xl67"/>
    <w:basedOn w:val="Normal"/>
    <w:rsid w:val="00FC5561"/>
    <w:pPr>
      <w:spacing w:before="100" w:beforeAutospacing="1" w:after="100" w:afterAutospacing="1" w:line="240" w:lineRule="auto"/>
      <w:jc w:val="center"/>
    </w:pPr>
    <w:rPr>
      <w:rFonts w:ascii="Courier New" w:eastAsia="Times New Roman" w:hAnsi="Courier New" w:cs="Courier New"/>
      <w:b/>
      <w:bCs/>
      <w:sz w:val="16"/>
      <w:szCs w:val="16"/>
    </w:rPr>
  </w:style>
  <w:style w:type="paragraph" w:customStyle="1" w:styleId="xl68">
    <w:name w:val="xl68"/>
    <w:basedOn w:val="Normal"/>
    <w:rsid w:val="00FC5561"/>
    <w:pPr>
      <w:spacing w:before="100" w:beforeAutospacing="1" w:after="100" w:afterAutospacing="1" w:line="240" w:lineRule="auto"/>
    </w:pPr>
    <w:rPr>
      <w:rFonts w:ascii="Courier New" w:eastAsia="Times New Roman" w:hAnsi="Courier New" w:cs="Courier New"/>
      <w:sz w:val="16"/>
      <w:szCs w:val="16"/>
    </w:rPr>
  </w:style>
  <w:style w:type="paragraph" w:customStyle="1" w:styleId="xl69">
    <w:name w:val="xl69"/>
    <w:basedOn w:val="Normal"/>
    <w:rsid w:val="00FC5561"/>
    <w:pPr>
      <w:spacing w:before="100" w:beforeAutospacing="1" w:after="100" w:afterAutospacing="1" w:line="240" w:lineRule="auto"/>
    </w:pPr>
    <w:rPr>
      <w:rFonts w:ascii="Courier New" w:eastAsia="Times New Roman" w:hAnsi="Courier New" w:cs="Courier New"/>
      <w:sz w:val="16"/>
      <w:szCs w:val="16"/>
    </w:rPr>
  </w:style>
  <w:style w:type="paragraph" w:customStyle="1" w:styleId="xl70">
    <w:name w:val="xl70"/>
    <w:basedOn w:val="Normal"/>
    <w:rsid w:val="00FC5561"/>
    <w:pPr>
      <w:spacing w:before="100" w:beforeAutospacing="1" w:after="100" w:afterAutospacing="1" w:line="240" w:lineRule="auto"/>
      <w:jc w:val="center"/>
    </w:pPr>
    <w:rPr>
      <w:rFonts w:ascii="Courier New" w:eastAsia="Times New Roman" w:hAnsi="Courier New" w:cs="Courier New"/>
      <w:sz w:val="16"/>
      <w:szCs w:val="16"/>
    </w:rPr>
  </w:style>
  <w:style w:type="paragraph" w:customStyle="1" w:styleId="xl71">
    <w:name w:val="xl71"/>
    <w:basedOn w:val="Normal"/>
    <w:rsid w:val="00FC5561"/>
    <w:pPr>
      <w:spacing w:before="100" w:beforeAutospacing="1" w:after="100" w:afterAutospacing="1" w:line="240" w:lineRule="auto"/>
    </w:pPr>
    <w:rPr>
      <w:rFonts w:ascii="Courier New" w:eastAsia="Times New Roman" w:hAnsi="Courier New" w:cs="Courier New"/>
      <w:sz w:val="16"/>
      <w:szCs w:val="16"/>
    </w:rPr>
  </w:style>
  <w:style w:type="paragraph" w:customStyle="1" w:styleId="xl72">
    <w:name w:val="xl72"/>
    <w:basedOn w:val="Normal"/>
    <w:rsid w:val="00FC5561"/>
    <w:pPr>
      <w:spacing w:before="100" w:beforeAutospacing="1" w:after="100" w:afterAutospacing="1" w:line="240" w:lineRule="auto"/>
      <w:jc w:val="center"/>
    </w:pPr>
    <w:rPr>
      <w:rFonts w:ascii="Courier New" w:eastAsia="Times New Roman" w:hAnsi="Courier New" w:cs="Courier New"/>
      <w:sz w:val="16"/>
      <w:szCs w:val="16"/>
    </w:rPr>
  </w:style>
  <w:style w:type="paragraph" w:customStyle="1" w:styleId="xl73">
    <w:name w:val="xl73"/>
    <w:basedOn w:val="Normal"/>
    <w:rsid w:val="00FC5561"/>
    <w:pPr>
      <w:spacing w:before="100" w:beforeAutospacing="1" w:after="100" w:afterAutospacing="1" w:line="240" w:lineRule="auto"/>
      <w:jc w:val="center"/>
    </w:pPr>
    <w:rPr>
      <w:rFonts w:ascii="Courier New" w:eastAsia="Times New Roman" w:hAnsi="Courier New" w:cs="Courier New"/>
      <w:sz w:val="16"/>
      <w:szCs w:val="16"/>
    </w:rPr>
  </w:style>
  <w:style w:type="paragraph" w:customStyle="1" w:styleId="xl74">
    <w:name w:val="xl74"/>
    <w:basedOn w:val="Normal"/>
    <w:rsid w:val="00FC5561"/>
    <w:pPr>
      <w:spacing w:before="100" w:beforeAutospacing="1" w:after="100" w:afterAutospacing="1" w:line="240" w:lineRule="auto"/>
      <w:jc w:val="right"/>
    </w:pPr>
    <w:rPr>
      <w:rFonts w:ascii="Courier New" w:eastAsia="Times New Roman" w:hAnsi="Courier New" w:cs="Courier New"/>
      <w:sz w:val="16"/>
      <w:szCs w:val="16"/>
    </w:rPr>
  </w:style>
  <w:style w:type="paragraph" w:customStyle="1" w:styleId="xl75">
    <w:name w:val="xl75"/>
    <w:basedOn w:val="Normal"/>
    <w:rsid w:val="00FC5561"/>
    <w:pPr>
      <w:spacing w:before="100" w:beforeAutospacing="1" w:after="100" w:afterAutospacing="1" w:line="240" w:lineRule="auto"/>
    </w:pPr>
    <w:rPr>
      <w:rFonts w:ascii="Courier New" w:eastAsia="Times New Roman" w:hAnsi="Courier New" w:cs="Courier New"/>
      <w:sz w:val="16"/>
      <w:szCs w:val="16"/>
    </w:rPr>
  </w:style>
  <w:style w:type="character" w:customStyle="1" w:styleId="st">
    <w:name w:val="st"/>
    <w:basedOn w:val="DefaultParagraphFont"/>
    <w:rsid w:val="00F34827"/>
  </w:style>
  <w:style w:type="paragraph" w:styleId="Header">
    <w:name w:val="header"/>
    <w:basedOn w:val="Normal"/>
    <w:link w:val="HeaderChar"/>
    <w:uiPriority w:val="99"/>
    <w:unhideWhenUsed/>
    <w:rsid w:val="001E4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7D0"/>
  </w:style>
  <w:style w:type="paragraph" w:styleId="Footer">
    <w:name w:val="footer"/>
    <w:basedOn w:val="Normal"/>
    <w:link w:val="FooterChar"/>
    <w:uiPriority w:val="99"/>
    <w:unhideWhenUsed/>
    <w:rsid w:val="001E4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4801">
      <w:bodyDiv w:val="1"/>
      <w:marLeft w:val="0"/>
      <w:marRight w:val="0"/>
      <w:marTop w:val="0"/>
      <w:marBottom w:val="0"/>
      <w:divBdr>
        <w:top w:val="none" w:sz="0" w:space="0" w:color="auto"/>
        <w:left w:val="none" w:sz="0" w:space="0" w:color="auto"/>
        <w:bottom w:val="none" w:sz="0" w:space="0" w:color="auto"/>
        <w:right w:val="none" w:sz="0" w:space="0" w:color="auto"/>
      </w:divBdr>
    </w:div>
    <w:div w:id="496000673">
      <w:bodyDiv w:val="1"/>
      <w:marLeft w:val="0"/>
      <w:marRight w:val="0"/>
      <w:marTop w:val="0"/>
      <w:marBottom w:val="0"/>
      <w:divBdr>
        <w:top w:val="none" w:sz="0" w:space="0" w:color="auto"/>
        <w:left w:val="none" w:sz="0" w:space="0" w:color="auto"/>
        <w:bottom w:val="none" w:sz="0" w:space="0" w:color="auto"/>
        <w:right w:val="none" w:sz="0" w:space="0" w:color="auto"/>
      </w:divBdr>
    </w:div>
    <w:div w:id="572473925">
      <w:bodyDiv w:val="1"/>
      <w:marLeft w:val="0"/>
      <w:marRight w:val="0"/>
      <w:marTop w:val="0"/>
      <w:marBottom w:val="0"/>
      <w:divBdr>
        <w:top w:val="none" w:sz="0" w:space="0" w:color="auto"/>
        <w:left w:val="none" w:sz="0" w:space="0" w:color="auto"/>
        <w:bottom w:val="none" w:sz="0" w:space="0" w:color="auto"/>
        <w:right w:val="none" w:sz="0" w:space="0" w:color="auto"/>
      </w:divBdr>
    </w:div>
    <w:div w:id="709840709">
      <w:bodyDiv w:val="1"/>
      <w:marLeft w:val="0"/>
      <w:marRight w:val="0"/>
      <w:marTop w:val="0"/>
      <w:marBottom w:val="0"/>
      <w:divBdr>
        <w:top w:val="none" w:sz="0" w:space="0" w:color="auto"/>
        <w:left w:val="none" w:sz="0" w:space="0" w:color="auto"/>
        <w:bottom w:val="none" w:sz="0" w:space="0" w:color="auto"/>
        <w:right w:val="none" w:sz="0" w:space="0" w:color="auto"/>
      </w:divBdr>
    </w:div>
    <w:div w:id="933126583">
      <w:bodyDiv w:val="1"/>
      <w:marLeft w:val="0"/>
      <w:marRight w:val="0"/>
      <w:marTop w:val="0"/>
      <w:marBottom w:val="0"/>
      <w:divBdr>
        <w:top w:val="none" w:sz="0" w:space="0" w:color="auto"/>
        <w:left w:val="none" w:sz="0" w:space="0" w:color="auto"/>
        <w:bottom w:val="none" w:sz="0" w:space="0" w:color="auto"/>
        <w:right w:val="none" w:sz="0" w:space="0" w:color="auto"/>
      </w:divBdr>
    </w:div>
    <w:div w:id="18565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mailto:info@pnb-bank.ch" TargetMode="External"/><Relationship Id="rId10" Type="http://schemas.openxmlformats.org/officeDocument/2006/relationships/chart" Target="charts/chart1.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hyperlink" Target="mailto:info@pbn-bank.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t425b\Desktop\2017%20USC\Madoff\2017-05-15%20updated%20madof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with Other Asset Classes (USD)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'charts for prospectus'!$R$2</c:f>
              <c:strCache>
                <c:ptCount val="1"/>
                <c:pt idx="0">
                  <c:v>S&amp;P500</c:v>
                </c:pt>
              </c:strCache>
            </c:strRef>
          </c:tx>
          <c:spPr>
            <a:ln w="19050" cap="rnd">
              <a:solidFill>
                <a:schemeClr val="accent1"/>
              </a:solidFill>
              <a:round/>
            </a:ln>
            <a:effectLst/>
          </c:spPr>
          <c:marker>
            <c:symbol val="none"/>
          </c:marker>
          <c:xVal>
            <c:numRef>
              <c:f>'charts for prospectus'!$Q$3:$Q$218</c:f>
              <c:numCache>
                <c:formatCode>0</c:formatCode>
                <c:ptCount val="216"/>
                <c:pt idx="0">
                  <c:v>1999.625</c:v>
                </c:pt>
                <c:pt idx="1">
                  <c:v>1999.7083333333333</c:v>
                </c:pt>
                <c:pt idx="2">
                  <c:v>1999.7916666666665</c:v>
                </c:pt>
                <c:pt idx="3">
                  <c:v>1999.8749999999998</c:v>
                </c:pt>
                <c:pt idx="4">
                  <c:v>1999.958333333333</c:v>
                </c:pt>
                <c:pt idx="5">
                  <c:v>2000.0416666666663</c:v>
                </c:pt>
                <c:pt idx="6">
                  <c:v>2000.1249999999995</c:v>
                </c:pt>
                <c:pt idx="7">
                  <c:v>2000.2083333333328</c:v>
                </c:pt>
                <c:pt idx="8">
                  <c:v>2000.2916666666661</c:v>
                </c:pt>
                <c:pt idx="9">
                  <c:v>2000.3749999999993</c:v>
                </c:pt>
                <c:pt idx="10">
                  <c:v>2000.4583333333326</c:v>
                </c:pt>
                <c:pt idx="11">
                  <c:v>2000.5416666666658</c:v>
                </c:pt>
                <c:pt idx="12">
                  <c:v>2000.6249999999991</c:v>
                </c:pt>
                <c:pt idx="13">
                  <c:v>2000.7083333333323</c:v>
                </c:pt>
                <c:pt idx="14">
                  <c:v>2000.7916666666656</c:v>
                </c:pt>
                <c:pt idx="15">
                  <c:v>2000.8749999999989</c:v>
                </c:pt>
                <c:pt idx="16">
                  <c:v>2000.9583333333321</c:v>
                </c:pt>
                <c:pt idx="17">
                  <c:v>2001.0416666666654</c:v>
                </c:pt>
                <c:pt idx="18">
                  <c:v>2001.1249999999986</c:v>
                </c:pt>
                <c:pt idx="19">
                  <c:v>2001.2083333333319</c:v>
                </c:pt>
                <c:pt idx="20">
                  <c:v>2001.2916666666652</c:v>
                </c:pt>
                <c:pt idx="21">
                  <c:v>2001.3749999999984</c:v>
                </c:pt>
                <c:pt idx="22">
                  <c:v>2001.4583333333317</c:v>
                </c:pt>
                <c:pt idx="23">
                  <c:v>2001.5416666666649</c:v>
                </c:pt>
                <c:pt idx="24">
                  <c:v>2001.6249999999982</c:v>
                </c:pt>
                <c:pt idx="25">
                  <c:v>2001.7083333333314</c:v>
                </c:pt>
                <c:pt idx="26">
                  <c:v>2001.7916666666647</c:v>
                </c:pt>
                <c:pt idx="27">
                  <c:v>2001.874999999998</c:v>
                </c:pt>
                <c:pt idx="28">
                  <c:v>2001.9583333333312</c:v>
                </c:pt>
                <c:pt idx="29">
                  <c:v>2002.0416666666645</c:v>
                </c:pt>
                <c:pt idx="30">
                  <c:v>2002.1249999999977</c:v>
                </c:pt>
                <c:pt idx="31">
                  <c:v>2002.208333333331</c:v>
                </c:pt>
                <c:pt idx="32">
                  <c:v>2002.2916666666642</c:v>
                </c:pt>
                <c:pt idx="33">
                  <c:v>2002.3749999999975</c:v>
                </c:pt>
                <c:pt idx="34">
                  <c:v>2002.4583333333308</c:v>
                </c:pt>
                <c:pt idx="35">
                  <c:v>2002.541666666664</c:v>
                </c:pt>
                <c:pt idx="36">
                  <c:v>2002.6249999999973</c:v>
                </c:pt>
                <c:pt idx="37">
                  <c:v>2002.7083333333305</c:v>
                </c:pt>
                <c:pt idx="38">
                  <c:v>2002.7916666666638</c:v>
                </c:pt>
                <c:pt idx="39">
                  <c:v>2002.874999999997</c:v>
                </c:pt>
                <c:pt idx="40">
                  <c:v>2002.9583333333303</c:v>
                </c:pt>
                <c:pt idx="41">
                  <c:v>2003.0416666666636</c:v>
                </c:pt>
                <c:pt idx="42">
                  <c:v>2003.1249999999968</c:v>
                </c:pt>
                <c:pt idx="43">
                  <c:v>2003.2083333333301</c:v>
                </c:pt>
                <c:pt idx="44">
                  <c:v>2003.2916666666633</c:v>
                </c:pt>
                <c:pt idx="45">
                  <c:v>2003.3749999999966</c:v>
                </c:pt>
                <c:pt idx="46">
                  <c:v>2003.4583333333298</c:v>
                </c:pt>
                <c:pt idx="47">
                  <c:v>2003.5416666666631</c:v>
                </c:pt>
                <c:pt idx="48">
                  <c:v>2003.6249999999964</c:v>
                </c:pt>
                <c:pt idx="49">
                  <c:v>2003.7083333333296</c:v>
                </c:pt>
                <c:pt idx="50">
                  <c:v>2003.7916666666629</c:v>
                </c:pt>
                <c:pt idx="51">
                  <c:v>2003.8749999999961</c:v>
                </c:pt>
                <c:pt idx="52">
                  <c:v>2003.9583333333294</c:v>
                </c:pt>
                <c:pt idx="53">
                  <c:v>2004.0416666666626</c:v>
                </c:pt>
                <c:pt idx="54">
                  <c:v>2004.1249999999959</c:v>
                </c:pt>
                <c:pt idx="55">
                  <c:v>2004.2083333333292</c:v>
                </c:pt>
                <c:pt idx="56">
                  <c:v>2004.2916666666624</c:v>
                </c:pt>
                <c:pt idx="57">
                  <c:v>2004.3749999999957</c:v>
                </c:pt>
                <c:pt idx="58">
                  <c:v>2004.4583333333289</c:v>
                </c:pt>
                <c:pt idx="59">
                  <c:v>2004.5416666666622</c:v>
                </c:pt>
                <c:pt idx="60">
                  <c:v>2004.6249999999955</c:v>
                </c:pt>
                <c:pt idx="61">
                  <c:v>2004.7083333333287</c:v>
                </c:pt>
                <c:pt idx="62">
                  <c:v>2004.791666666662</c:v>
                </c:pt>
                <c:pt idx="63">
                  <c:v>2004.8749999999952</c:v>
                </c:pt>
                <c:pt idx="64">
                  <c:v>2004.9583333333285</c:v>
                </c:pt>
                <c:pt idx="65">
                  <c:v>2005.0416666666617</c:v>
                </c:pt>
                <c:pt idx="66">
                  <c:v>2005.124999999995</c:v>
                </c:pt>
                <c:pt idx="67">
                  <c:v>2005.2083333333283</c:v>
                </c:pt>
                <c:pt idx="68">
                  <c:v>2005.2916666666615</c:v>
                </c:pt>
                <c:pt idx="69">
                  <c:v>2005.3749999999948</c:v>
                </c:pt>
                <c:pt idx="70">
                  <c:v>2005.458333333328</c:v>
                </c:pt>
                <c:pt idx="71">
                  <c:v>2005.5416666666613</c:v>
                </c:pt>
                <c:pt idx="72">
                  <c:v>2005.6249999999945</c:v>
                </c:pt>
                <c:pt idx="73">
                  <c:v>2005.7083333333278</c:v>
                </c:pt>
                <c:pt idx="74">
                  <c:v>2005.7916666666611</c:v>
                </c:pt>
                <c:pt idx="75">
                  <c:v>2005.8749999999943</c:v>
                </c:pt>
                <c:pt idx="76">
                  <c:v>2005.9583333333276</c:v>
                </c:pt>
                <c:pt idx="77">
                  <c:v>2006.0416666666608</c:v>
                </c:pt>
                <c:pt idx="78">
                  <c:v>2006.1249999999941</c:v>
                </c:pt>
                <c:pt idx="79">
                  <c:v>2006.2083333333273</c:v>
                </c:pt>
                <c:pt idx="80">
                  <c:v>2006.2916666666606</c:v>
                </c:pt>
                <c:pt idx="81">
                  <c:v>2006.3749999999939</c:v>
                </c:pt>
                <c:pt idx="82">
                  <c:v>2006.4583333333271</c:v>
                </c:pt>
                <c:pt idx="83">
                  <c:v>2006.5416666666604</c:v>
                </c:pt>
                <c:pt idx="84">
                  <c:v>2006.6249999999936</c:v>
                </c:pt>
                <c:pt idx="85">
                  <c:v>2006.7083333333269</c:v>
                </c:pt>
                <c:pt idx="86">
                  <c:v>2006.7916666666601</c:v>
                </c:pt>
                <c:pt idx="87">
                  <c:v>2006.8749999999934</c:v>
                </c:pt>
                <c:pt idx="88">
                  <c:v>2006.9583333333267</c:v>
                </c:pt>
                <c:pt idx="89">
                  <c:v>2007.0416666666599</c:v>
                </c:pt>
                <c:pt idx="90">
                  <c:v>2007.1249999999932</c:v>
                </c:pt>
                <c:pt idx="91">
                  <c:v>2007.2083333333264</c:v>
                </c:pt>
                <c:pt idx="92">
                  <c:v>2007.2916666666597</c:v>
                </c:pt>
                <c:pt idx="93">
                  <c:v>2007.374999999993</c:v>
                </c:pt>
                <c:pt idx="94">
                  <c:v>2007.4583333333262</c:v>
                </c:pt>
                <c:pt idx="95">
                  <c:v>2007.5416666666595</c:v>
                </c:pt>
                <c:pt idx="96">
                  <c:v>2007.6249999999927</c:v>
                </c:pt>
                <c:pt idx="97">
                  <c:v>2007.708333333326</c:v>
                </c:pt>
                <c:pt idx="98">
                  <c:v>2007.7916666666592</c:v>
                </c:pt>
                <c:pt idx="99">
                  <c:v>2007.8749999999925</c:v>
                </c:pt>
                <c:pt idx="100">
                  <c:v>2007.9583333333258</c:v>
                </c:pt>
                <c:pt idx="101">
                  <c:v>2008.041666666659</c:v>
                </c:pt>
                <c:pt idx="102">
                  <c:v>2008.1249999999923</c:v>
                </c:pt>
                <c:pt idx="103">
                  <c:v>2008.2083333333255</c:v>
                </c:pt>
                <c:pt idx="104">
                  <c:v>2008.2916666666588</c:v>
                </c:pt>
                <c:pt idx="105">
                  <c:v>2008.374999999992</c:v>
                </c:pt>
                <c:pt idx="106">
                  <c:v>2008.4583333333253</c:v>
                </c:pt>
                <c:pt idx="107">
                  <c:v>2008.5416666666586</c:v>
                </c:pt>
                <c:pt idx="108">
                  <c:v>2008.6249999999918</c:v>
                </c:pt>
                <c:pt idx="109">
                  <c:v>2008.7083333333251</c:v>
                </c:pt>
                <c:pt idx="110">
                  <c:v>2008.7916666666583</c:v>
                </c:pt>
                <c:pt idx="111">
                  <c:v>2008.8749999999916</c:v>
                </c:pt>
                <c:pt idx="112">
                  <c:v>2008.9583333333248</c:v>
                </c:pt>
                <c:pt idx="113">
                  <c:v>2009.0416666666581</c:v>
                </c:pt>
                <c:pt idx="114">
                  <c:v>2009.1249999999914</c:v>
                </c:pt>
                <c:pt idx="115">
                  <c:v>2009.2083333333246</c:v>
                </c:pt>
                <c:pt idx="116">
                  <c:v>2009.2916666666579</c:v>
                </c:pt>
                <c:pt idx="117">
                  <c:v>2009.3749999999911</c:v>
                </c:pt>
                <c:pt idx="118">
                  <c:v>2009.4583333333244</c:v>
                </c:pt>
                <c:pt idx="119">
                  <c:v>2009.5416666666576</c:v>
                </c:pt>
                <c:pt idx="120">
                  <c:v>2009.6249999999909</c:v>
                </c:pt>
                <c:pt idx="121">
                  <c:v>2009.7083333333242</c:v>
                </c:pt>
                <c:pt idx="122">
                  <c:v>2009.7916666666574</c:v>
                </c:pt>
                <c:pt idx="123">
                  <c:v>2009.8749999999907</c:v>
                </c:pt>
                <c:pt idx="124">
                  <c:v>2009.9583333333239</c:v>
                </c:pt>
                <c:pt idx="125">
                  <c:v>2010.0416666666572</c:v>
                </c:pt>
                <c:pt idx="126">
                  <c:v>2010.1249999999905</c:v>
                </c:pt>
                <c:pt idx="127">
                  <c:v>2010.2083333333237</c:v>
                </c:pt>
                <c:pt idx="128">
                  <c:v>2010.291666666657</c:v>
                </c:pt>
                <c:pt idx="129">
                  <c:v>2010.3749999999902</c:v>
                </c:pt>
                <c:pt idx="130">
                  <c:v>2010.4583333333235</c:v>
                </c:pt>
                <c:pt idx="131">
                  <c:v>2010.5416666666567</c:v>
                </c:pt>
                <c:pt idx="132">
                  <c:v>2010.62499999999</c:v>
                </c:pt>
                <c:pt idx="133">
                  <c:v>2010.7083333333233</c:v>
                </c:pt>
                <c:pt idx="134">
                  <c:v>2010.7916666666565</c:v>
                </c:pt>
                <c:pt idx="135">
                  <c:v>2010.8749999999898</c:v>
                </c:pt>
                <c:pt idx="136">
                  <c:v>2010.958333333323</c:v>
                </c:pt>
                <c:pt idx="137">
                  <c:v>2011.0416666666563</c:v>
                </c:pt>
                <c:pt idx="138">
                  <c:v>2011.1249999999895</c:v>
                </c:pt>
                <c:pt idx="139">
                  <c:v>2011.2083333333228</c:v>
                </c:pt>
                <c:pt idx="140">
                  <c:v>2011.2916666666561</c:v>
                </c:pt>
                <c:pt idx="141">
                  <c:v>2011.3749999999893</c:v>
                </c:pt>
                <c:pt idx="142">
                  <c:v>2011.4583333333226</c:v>
                </c:pt>
                <c:pt idx="143">
                  <c:v>2011.5416666666558</c:v>
                </c:pt>
                <c:pt idx="144">
                  <c:v>2011.6249999999891</c:v>
                </c:pt>
                <c:pt idx="145">
                  <c:v>2011.7083333333223</c:v>
                </c:pt>
                <c:pt idx="146">
                  <c:v>2011.7916666666556</c:v>
                </c:pt>
                <c:pt idx="147">
                  <c:v>2011.8749999999889</c:v>
                </c:pt>
                <c:pt idx="148">
                  <c:v>2011.9583333333221</c:v>
                </c:pt>
                <c:pt idx="149">
                  <c:v>2012.0416666666554</c:v>
                </c:pt>
                <c:pt idx="150">
                  <c:v>2012.1249999999886</c:v>
                </c:pt>
                <c:pt idx="151">
                  <c:v>2012.2083333333219</c:v>
                </c:pt>
                <c:pt idx="152">
                  <c:v>2012.2916666666551</c:v>
                </c:pt>
                <c:pt idx="153">
                  <c:v>2012.3749999999884</c:v>
                </c:pt>
                <c:pt idx="154">
                  <c:v>2012.4583333333217</c:v>
                </c:pt>
                <c:pt idx="155">
                  <c:v>2012.5416666666549</c:v>
                </c:pt>
                <c:pt idx="156">
                  <c:v>2012.6249999999882</c:v>
                </c:pt>
                <c:pt idx="157">
                  <c:v>2012.7083333333214</c:v>
                </c:pt>
                <c:pt idx="158">
                  <c:v>2012.7916666666547</c:v>
                </c:pt>
                <c:pt idx="159">
                  <c:v>2012.8749999999879</c:v>
                </c:pt>
                <c:pt idx="160">
                  <c:v>2012.9583333333212</c:v>
                </c:pt>
                <c:pt idx="161">
                  <c:v>2013.0416666666545</c:v>
                </c:pt>
                <c:pt idx="162">
                  <c:v>2013.1249999999877</c:v>
                </c:pt>
                <c:pt idx="163">
                  <c:v>2013.208333333321</c:v>
                </c:pt>
                <c:pt idx="164">
                  <c:v>2013.2916666666542</c:v>
                </c:pt>
                <c:pt idx="165">
                  <c:v>2013.3749999999875</c:v>
                </c:pt>
                <c:pt idx="166">
                  <c:v>2013.4583333333208</c:v>
                </c:pt>
                <c:pt idx="167">
                  <c:v>2013.541666666654</c:v>
                </c:pt>
                <c:pt idx="168">
                  <c:v>2013.6249999999873</c:v>
                </c:pt>
                <c:pt idx="169">
                  <c:v>2013.7083333333205</c:v>
                </c:pt>
                <c:pt idx="170">
                  <c:v>2013.7916666666538</c:v>
                </c:pt>
                <c:pt idx="171">
                  <c:v>2013.874999999987</c:v>
                </c:pt>
                <c:pt idx="172">
                  <c:v>2013.9583333333203</c:v>
                </c:pt>
                <c:pt idx="173">
                  <c:v>2014.0416666666536</c:v>
                </c:pt>
                <c:pt idx="174">
                  <c:v>2014.1249999999868</c:v>
                </c:pt>
                <c:pt idx="175">
                  <c:v>2014.2083333333201</c:v>
                </c:pt>
                <c:pt idx="176">
                  <c:v>2014.2916666666533</c:v>
                </c:pt>
                <c:pt idx="177">
                  <c:v>2014.3749999999866</c:v>
                </c:pt>
                <c:pt idx="178">
                  <c:v>2014.4583333333198</c:v>
                </c:pt>
                <c:pt idx="179">
                  <c:v>2014.5416666666531</c:v>
                </c:pt>
                <c:pt idx="180">
                  <c:v>2014.6249999999864</c:v>
                </c:pt>
                <c:pt idx="181">
                  <c:v>2014.7083333333196</c:v>
                </c:pt>
                <c:pt idx="182">
                  <c:v>2014.7916666666529</c:v>
                </c:pt>
                <c:pt idx="183">
                  <c:v>2014.8749999999861</c:v>
                </c:pt>
                <c:pt idx="184">
                  <c:v>2014.9583333333194</c:v>
                </c:pt>
                <c:pt idx="185">
                  <c:v>2015.0416666666526</c:v>
                </c:pt>
                <c:pt idx="186">
                  <c:v>2015.1249999999859</c:v>
                </c:pt>
                <c:pt idx="187">
                  <c:v>2015.2083333333192</c:v>
                </c:pt>
                <c:pt idx="188">
                  <c:v>2015.2916666666524</c:v>
                </c:pt>
                <c:pt idx="189">
                  <c:v>2015.3749999999857</c:v>
                </c:pt>
                <c:pt idx="190">
                  <c:v>2015.4583333333189</c:v>
                </c:pt>
                <c:pt idx="191">
                  <c:v>2015.5416666666522</c:v>
                </c:pt>
                <c:pt idx="192">
                  <c:v>2015.6249999999854</c:v>
                </c:pt>
                <c:pt idx="193">
                  <c:v>2015.7083333333187</c:v>
                </c:pt>
                <c:pt idx="194">
                  <c:v>2015.791666666652</c:v>
                </c:pt>
                <c:pt idx="195">
                  <c:v>2015.8749999999852</c:v>
                </c:pt>
                <c:pt idx="196">
                  <c:v>2015.9583333333185</c:v>
                </c:pt>
                <c:pt idx="197">
                  <c:v>2016.0416666666517</c:v>
                </c:pt>
                <c:pt idx="198">
                  <c:v>2016.124999999985</c:v>
                </c:pt>
                <c:pt idx="199">
                  <c:v>2016.2083333333183</c:v>
                </c:pt>
                <c:pt idx="200">
                  <c:v>2016.2916666666515</c:v>
                </c:pt>
                <c:pt idx="201">
                  <c:v>2016.3749999999848</c:v>
                </c:pt>
                <c:pt idx="202">
                  <c:v>2016.458333333318</c:v>
                </c:pt>
                <c:pt idx="203">
                  <c:v>2016.5416666666513</c:v>
                </c:pt>
                <c:pt idx="204">
                  <c:v>2016.6249999999845</c:v>
                </c:pt>
                <c:pt idx="205">
                  <c:v>2016.7083333333178</c:v>
                </c:pt>
                <c:pt idx="206">
                  <c:v>2016.7916666666511</c:v>
                </c:pt>
                <c:pt idx="207">
                  <c:v>2016.8749999999843</c:v>
                </c:pt>
                <c:pt idx="208">
                  <c:v>2016.9583333333176</c:v>
                </c:pt>
                <c:pt idx="209">
                  <c:v>2017.0416666666508</c:v>
                </c:pt>
                <c:pt idx="210">
                  <c:v>2017.1249999999841</c:v>
                </c:pt>
                <c:pt idx="211">
                  <c:v>2017.2083333333173</c:v>
                </c:pt>
                <c:pt idx="212">
                  <c:v>2017.2916666666506</c:v>
                </c:pt>
                <c:pt idx="213">
                  <c:v>2017.3749999999839</c:v>
                </c:pt>
                <c:pt idx="214">
                  <c:v>2017.4583333333171</c:v>
                </c:pt>
                <c:pt idx="215">
                  <c:v>2017.5416666666504</c:v>
                </c:pt>
              </c:numCache>
            </c:numRef>
          </c:xVal>
          <c:yVal>
            <c:numRef>
              <c:f>'charts for prospectus'!$R$3:$R$218</c:f>
              <c:numCache>
                <c:formatCode>General</c:formatCode>
                <c:ptCount val="216"/>
                <c:pt idx="0">
                  <c:v>100</c:v>
                </c:pt>
                <c:pt idx="1">
                  <c:v>98.299639149707062</c:v>
                </c:pt>
                <c:pt idx="2">
                  <c:v>99.297397866354245</c:v>
                </c:pt>
                <c:pt idx="3">
                  <c:v>100.29942511452151</c:v>
                </c:pt>
                <c:pt idx="4">
                  <c:v>92.102614472343348</c:v>
                </c:pt>
                <c:pt idx="5">
                  <c:v>95.029270869426469</c:v>
                </c:pt>
                <c:pt idx="6">
                  <c:v>100.38657324777361</c:v>
                </c:pt>
                <c:pt idx="7">
                  <c:v>95.578796323305795</c:v>
                </c:pt>
                <c:pt idx="8">
                  <c:v>98.99994455634473</c:v>
                </c:pt>
                <c:pt idx="9">
                  <c:v>101.43200674703778</c:v>
                </c:pt>
                <c:pt idx="10">
                  <c:v>105.34676857589025</c:v>
                </c:pt>
                <c:pt idx="11">
                  <c:v>106.14464753384351</c:v>
                </c:pt>
                <c:pt idx="12">
                  <c:v>105.61611778129254</c:v>
                </c:pt>
                <c:pt idx="13">
                  <c:v>104.38935203406854</c:v>
                </c:pt>
                <c:pt idx="14">
                  <c:v>104.489978888557</c:v>
                </c:pt>
                <c:pt idx="15">
                  <c:v>108.248304458096</c:v>
                </c:pt>
                <c:pt idx="16">
                  <c:v>105.28071047124119</c:v>
                </c:pt>
                <c:pt idx="17">
                  <c:v>106.93694427376487</c:v>
                </c:pt>
                <c:pt idx="18">
                  <c:v>110.41247465469833</c:v>
                </c:pt>
                <c:pt idx="19">
                  <c:v>110.9744948110343</c:v>
                </c:pt>
                <c:pt idx="20">
                  <c:v>113.28651706126446</c:v>
                </c:pt>
                <c:pt idx="21">
                  <c:v>109.79777317451605</c:v>
                </c:pt>
                <c:pt idx="22">
                  <c:v>110.90758339224048</c:v>
                </c:pt>
                <c:pt idx="23">
                  <c:v>111.69818852721174</c:v>
                </c:pt>
                <c:pt idx="24">
                  <c:v>108.11869807698534</c:v>
                </c:pt>
                <c:pt idx="25">
                  <c:v>112.96883185990667</c:v>
                </c:pt>
                <c:pt idx="26">
                  <c:v>110.95614275268808</c:v>
                </c:pt>
                <c:pt idx="27">
                  <c:v>110.96575113609975</c:v>
                </c:pt>
                <c:pt idx="28">
                  <c:v>111.21956862926767</c:v>
                </c:pt>
                <c:pt idx="29">
                  <c:v>110.02505377114234</c:v>
                </c:pt>
                <c:pt idx="30">
                  <c:v>113.99411403845372</c:v>
                </c:pt>
                <c:pt idx="31">
                  <c:v>121.12325367847663</c:v>
                </c:pt>
                <c:pt idx="32">
                  <c:v>118.7100241971865</c:v>
                </c:pt>
                <c:pt idx="33">
                  <c:v>115.0398763339681</c:v>
                </c:pt>
                <c:pt idx="34">
                  <c:v>111.09509922139502</c:v>
                </c:pt>
                <c:pt idx="35">
                  <c:v>108.31379018419183</c:v>
                </c:pt>
                <c:pt idx="36">
                  <c:v>104.03489586341526</c:v>
                </c:pt>
                <c:pt idx="37">
                  <c:v>101.94295351533817</c:v>
                </c:pt>
                <c:pt idx="38">
                  <c:v>102.15767422233893</c:v>
                </c:pt>
                <c:pt idx="39">
                  <c:v>105.47352978654756</c:v>
                </c:pt>
                <c:pt idx="40">
                  <c:v>98.995595964432468</c:v>
                </c:pt>
                <c:pt idx="41">
                  <c:v>100.85809268317409</c:v>
                </c:pt>
                <c:pt idx="42">
                  <c:v>96.244034924882882</c:v>
                </c:pt>
                <c:pt idx="43">
                  <c:v>98.756100792194644</c:v>
                </c:pt>
                <c:pt idx="44">
                  <c:v>99.537910088732602</c:v>
                </c:pt>
                <c:pt idx="45">
                  <c:v>104.8287073448659</c:v>
                </c:pt>
                <c:pt idx="46">
                  <c:v>106.03744983870665</c:v>
                </c:pt>
                <c:pt idx="47">
                  <c:v>109.71022414408282</c:v>
                </c:pt>
                <c:pt idx="48">
                  <c:v>108.2937964703148</c:v>
                </c:pt>
                <c:pt idx="49">
                  <c:v>110.25381796146326</c:v>
                </c:pt>
                <c:pt idx="50">
                  <c:v>110.2185104933514</c:v>
                </c:pt>
                <c:pt idx="51">
                  <c:v>117.09565128620103</c:v>
                </c:pt>
                <c:pt idx="52">
                  <c:v>130.16210382286891</c:v>
                </c:pt>
                <c:pt idx="53">
                  <c:v>132.93119754509317</c:v>
                </c:pt>
                <c:pt idx="54">
                  <c:v>134.79412772773352</c:v>
                </c:pt>
                <c:pt idx="55">
                  <c:v>144.92739816901542</c:v>
                </c:pt>
                <c:pt idx="56">
                  <c:v>150.7386205190102</c:v>
                </c:pt>
                <c:pt idx="57">
                  <c:v>128.76142428757387</c:v>
                </c:pt>
                <c:pt idx="58">
                  <c:v>129.99618738347039</c:v>
                </c:pt>
                <c:pt idx="59">
                  <c:v>133.30677056376041</c:v>
                </c:pt>
                <c:pt idx="60">
                  <c:v>134.93430936276189</c:v>
                </c:pt>
                <c:pt idx="61">
                  <c:v>147.98513259202318</c:v>
                </c:pt>
                <c:pt idx="62">
                  <c:v>152.46343006287378</c:v>
                </c:pt>
                <c:pt idx="63">
                  <c:v>155.20609450337582</c:v>
                </c:pt>
                <c:pt idx="64">
                  <c:v>140.88200983340982</c:v>
                </c:pt>
                <c:pt idx="65">
                  <c:v>145.31837133630577</c:v>
                </c:pt>
                <c:pt idx="66">
                  <c:v>154.13906644325007</c:v>
                </c:pt>
                <c:pt idx="67">
                  <c:v>150.22134304482236</c:v>
                </c:pt>
                <c:pt idx="68">
                  <c:v>151.9221813170337</c:v>
                </c:pt>
                <c:pt idx="69">
                  <c:v>164.12065563854321</c:v>
                </c:pt>
                <c:pt idx="70">
                  <c:v>156.91515018431147</c:v>
                </c:pt>
                <c:pt idx="71">
                  <c:v>158.89475764532926</c:v>
                </c:pt>
                <c:pt idx="72">
                  <c:v>156.07584069625236</c:v>
                </c:pt>
                <c:pt idx="73">
                  <c:v>158.60796868933195</c:v>
                </c:pt>
                <c:pt idx="74">
                  <c:v>167.98582286549279</c:v>
                </c:pt>
                <c:pt idx="75">
                  <c:v>169.97380691228696</c:v>
                </c:pt>
                <c:pt idx="76">
                  <c:v>172.3634759275042</c:v>
                </c:pt>
                <c:pt idx="77">
                  <c:v>178.42827372627048</c:v>
                </c:pt>
                <c:pt idx="78">
                  <c:v>187.4862815719018</c:v>
                </c:pt>
                <c:pt idx="79">
                  <c:v>182.13321220726894</c:v>
                </c:pt>
                <c:pt idx="80">
                  <c:v>178.64650179611729</c:v>
                </c:pt>
                <c:pt idx="81">
                  <c:v>174.7437588701053</c:v>
                </c:pt>
                <c:pt idx="82">
                  <c:v>174.57734182741393</c:v>
                </c:pt>
                <c:pt idx="83">
                  <c:v>177.5934075473231</c:v>
                </c:pt>
                <c:pt idx="84">
                  <c:v>187.86610194429949</c:v>
                </c:pt>
                <c:pt idx="85">
                  <c:v>193.10619750295498</c:v>
                </c:pt>
                <c:pt idx="86">
                  <c:v>190.93913950266156</c:v>
                </c:pt>
                <c:pt idx="87">
                  <c:v>192.53492645301702</c:v>
                </c:pt>
                <c:pt idx="88">
                  <c:v>206.09885665437889</c:v>
                </c:pt>
                <c:pt idx="89">
                  <c:v>205.00095857772413</c:v>
                </c:pt>
                <c:pt idx="90">
                  <c:v>190.14754146803278</c:v>
                </c:pt>
                <c:pt idx="91">
                  <c:v>201.80682572102666</c:v>
                </c:pt>
                <c:pt idx="92">
                  <c:v>210.09079463061701</c:v>
                </c:pt>
                <c:pt idx="93">
                  <c:v>218.37640603694257</c:v>
                </c:pt>
                <c:pt idx="94">
                  <c:v>214.58564667882499</c:v>
                </c:pt>
                <c:pt idx="95">
                  <c:v>221.01292589543175</c:v>
                </c:pt>
                <c:pt idx="96">
                  <c:v>240.11922834830887</c:v>
                </c:pt>
                <c:pt idx="97">
                  <c:v>250.55303686986898</c:v>
                </c:pt>
                <c:pt idx="98">
                  <c:v>253.63461830737307</c:v>
                </c:pt>
                <c:pt idx="99">
                  <c:v>240.72371614983791</c:v>
                </c:pt>
                <c:pt idx="100">
                  <c:v>234.94694154149158</c:v>
                </c:pt>
                <c:pt idx="101">
                  <c:v>230.45530679395225</c:v>
                </c:pt>
                <c:pt idx="102">
                  <c:v>231.58025895200225</c:v>
                </c:pt>
                <c:pt idx="103">
                  <c:v>221.7116953894145</c:v>
                </c:pt>
                <c:pt idx="104">
                  <c:v>227.91083394128407</c:v>
                </c:pt>
                <c:pt idx="105">
                  <c:v>236.55868898660739</c:v>
                </c:pt>
                <c:pt idx="106">
                  <c:v>241.81096201116083</c:v>
                </c:pt>
                <c:pt idx="107">
                  <c:v>240.36985969170692</c:v>
                </c:pt>
                <c:pt idx="108">
                  <c:v>243.46187457588147</c:v>
                </c:pt>
                <c:pt idx="109">
                  <c:v>244.70009216190604</c:v>
                </c:pt>
                <c:pt idx="110">
                  <c:v>246.99143340662133</c:v>
                </c:pt>
                <c:pt idx="111">
                  <c:v>231.15720617603498</c:v>
                </c:pt>
                <c:pt idx="112">
                  <c:v>236.07589501044913</c:v>
                </c:pt>
                <c:pt idx="113">
                  <c:v>228.45476013107492</c:v>
                </c:pt>
                <c:pt idx="114">
                  <c:v>237.93968813142024</c:v>
                </c:pt>
                <c:pt idx="115">
                  <c:v>235.59375244820143</c:v>
                </c:pt>
                <c:pt idx="116">
                  <c:v>246.79545742609301</c:v>
                </c:pt>
                <c:pt idx="117">
                  <c:v>250.45354318704261</c:v>
                </c:pt>
                <c:pt idx="118">
                  <c:v>258.34483416751169</c:v>
                </c:pt>
                <c:pt idx="119">
                  <c:v>251.81117263867387</c:v>
                </c:pt>
                <c:pt idx="120">
                  <c:v>249.52435423961893</c:v>
                </c:pt>
                <c:pt idx="121">
                  <c:v>263.04940454903499</c:v>
                </c:pt>
                <c:pt idx="122">
                  <c:v>269.0609793029945</c:v>
                </c:pt>
                <c:pt idx="123">
                  <c:v>263.27471117380799</c:v>
                </c:pt>
                <c:pt idx="124">
                  <c:v>267.86724209937194</c:v>
                </c:pt>
                <c:pt idx="125">
                  <c:v>270.29853088629613</c:v>
                </c:pt>
                <c:pt idx="126">
                  <c:v>272.75975951856606</c:v>
                </c:pt>
                <c:pt idx="127">
                  <c:v>277.9158316489839</c:v>
                </c:pt>
                <c:pt idx="128">
                  <c:v>255.95929286794819</c:v>
                </c:pt>
                <c:pt idx="129">
                  <c:v>257.47651461459719</c:v>
                </c:pt>
                <c:pt idx="130">
                  <c:v>266.82592761883802</c:v>
                </c:pt>
                <c:pt idx="131">
                  <c:v>277.17723011855736</c:v>
                </c:pt>
                <c:pt idx="132">
                  <c:v>284.05891913248189</c:v>
                </c:pt>
                <c:pt idx="133">
                  <c:v>235.9323720365731</c:v>
                </c:pt>
                <c:pt idx="134">
                  <c:v>214.51173370447222</c:v>
                </c:pt>
                <c:pt idx="135">
                  <c:v>217.12673138597594</c:v>
                </c:pt>
                <c:pt idx="136">
                  <c:v>219.44438155950579</c:v>
                </c:pt>
                <c:pt idx="137">
                  <c:v>209.77930110483911</c:v>
                </c:pt>
                <c:pt idx="138">
                  <c:v>213.23366484473453</c:v>
                </c:pt>
                <c:pt idx="139">
                  <c:v>213.20323336734901</c:v>
                </c:pt>
                <c:pt idx="140">
                  <c:v>200.3401337958197</c:v>
                </c:pt>
                <c:pt idx="141">
                  <c:v>188.82746142565517</c:v>
                </c:pt>
                <c:pt idx="142">
                  <c:v>191.1683825511478</c:v>
                </c:pt>
                <c:pt idx="143">
                  <c:v>191.94327317672372</c:v>
                </c:pt>
                <c:pt idx="144">
                  <c:v>195.66561428684858</c:v>
                </c:pt>
                <c:pt idx="145">
                  <c:v>192.61835077223591</c:v>
                </c:pt>
                <c:pt idx="146">
                  <c:v>198.90105807937903</c:v>
                </c:pt>
                <c:pt idx="147">
                  <c:v>207.76943069418039</c:v>
                </c:pt>
                <c:pt idx="148">
                  <c:v>201.52699901149452</c:v>
                </c:pt>
                <c:pt idx="149">
                  <c:v>217.00716681777106</c:v>
                </c:pt>
                <c:pt idx="150">
                  <c:v>211.17454902717586</c:v>
                </c:pt>
                <c:pt idx="151">
                  <c:v>206.54664811818665</c:v>
                </c:pt>
                <c:pt idx="152">
                  <c:v>208.00197362183343</c:v>
                </c:pt>
                <c:pt idx="153">
                  <c:v>219.43407126289716</c:v>
                </c:pt>
                <c:pt idx="154">
                  <c:v>231.37969587066956</c:v>
                </c:pt>
                <c:pt idx="155">
                  <c:v>240.31210314534954</c:v>
                </c:pt>
                <c:pt idx="156">
                  <c:v>225.61379018123722</c:v>
                </c:pt>
                <c:pt idx="157">
                  <c:v>232.95734503796157</c:v>
                </c:pt>
                <c:pt idx="158">
                  <c:v>235.78909362699582</c:v>
                </c:pt>
                <c:pt idx="159">
                  <c:v>238.63823939784973</c:v>
                </c:pt>
                <c:pt idx="160">
                  <c:v>237.45710280334501</c:v>
                </c:pt>
                <c:pt idx="161">
                  <c:v>245.63321552325962</c:v>
                </c:pt>
                <c:pt idx="162">
                  <c:v>254.65750809762204</c:v>
                </c:pt>
                <c:pt idx="163">
                  <c:v>255.23219632495935</c:v>
                </c:pt>
                <c:pt idx="164">
                  <c:v>273.96015268955375</c:v>
                </c:pt>
                <c:pt idx="165">
                  <c:v>275.85971062553944</c:v>
                </c:pt>
                <c:pt idx="166">
                  <c:v>266.34870305392275</c:v>
                </c:pt>
                <c:pt idx="167">
                  <c:v>254.16417908560331</c:v>
                </c:pt>
                <c:pt idx="168">
                  <c:v>237.84564153754783</c:v>
                </c:pt>
                <c:pt idx="169">
                  <c:v>246.78832812889826</c:v>
                </c:pt>
                <c:pt idx="170">
                  <c:v>242.75549189063446</c:v>
                </c:pt>
                <c:pt idx="171">
                  <c:v>247.29436361945159</c:v>
                </c:pt>
                <c:pt idx="172">
                  <c:v>251.71430607427538</c:v>
                </c:pt>
                <c:pt idx="173">
                  <c:v>262.03696919318577</c:v>
                </c:pt>
                <c:pt idx="174">
                  <c:v>279.66712433829946</c:v>
                </c:pt>
                <c:pt idx="175">
                  <c:v>255.62627135127033</c:v>
                </c:pt>
                <c:pt idx="176">
                  <c:v>253.42059775959618</c:v>
                </c:pt>
                <c:pt idx="177">
                  <c:v>264.39135044948824</c:v>
                </c:pt>
                <c:pt idx="178">
                  <c:v>267.32498676114079</c:v>
                </c:pt>
                <c:pt idx="179">
                  <c:v>262.83639924184217</c:v>
                </c:pt>
                <c:pt idx="180">
                  <c:v>248.77912673896333</c:v>
                </c:pt>
                <c:pt idx="181">
                  <c:v>254.43075729869065</c:v>
                </c:pt>
                <c:pt idx="182">
                  <c:v>275.05087078491437</c:v>
                </c:pt>
                <c:pt idx="183">
                  <c:v>288.78848295698998</c:v>
                </c:pt>
                <c:pt idx="184">
                  <c:v>289.00658468604598</c:v>
                </c:pt>
                <c:pt idx="185">
                  <c:v>305.5000809185081</c:v>
                </c:pt>
                <c:pt idx="186">
                  <c:v>329.37363204661051</c:v>
                </c:pt>
                <c:pt idx="187">
                  <c:v>320.54944115276606</c:v>
                </c:pt>
                <c:pt idx="188">
                  <c:v>294.88349297586632</c:v>
                </c:pt>
                <c:pt idx="189">
                  <c:v>291.93821716952783</c:v>
                </c:pt>
                <c:pt idx="190">
                  <c:v>285.87576646361686</c:v>
                </c:pt>
                <c:pt idx="191">
                  <c:v>289.71548456640778</c:v>
                </c:pt>
                <c:pt idx="192">
                  <c:v>306.68611496894744</c:v>
                </c:pt>
                <c:pt idx="193">
                  <c:v>314.13175179319575</c:v>
                </c:pt>
                <c:pt idx="194">
                  <c:v>320.11968683432315</c:v>
                </c:pt>
                <c:pt idx="195">
                  <c:v>313.13087778244909</c:v>
                </c:pt>
                <c:pt idx="196">
                  <c:v>315.30683198485133</c:v>
                </c:pt>
                <c:pt idx="197">
                  <c:v>331.35554288118004</c:v>
                </c:pt>
                <c:pt idx="198">
                  <c:v>325.11736936581923</c:v>
                </c:pt>
                <c:pt idx="199">
                  <c:v>337.91843794737412</c:v>
                </c:pt>
                <c:pt idx="200">
                  <c:v>331.12337736858018</c:v>
                </c:pt>
                <c:pt idx="201">
                  <c:v>294.69175351315045</c:v>
                </c:pt>
                <c:pt idx="202">
                  <c:v>311.903396127988</c:v>
                </c:pt>
                <c:pt idx="203">
                  <c:v>320.42746437494066</c:v>
                </c:pt>
                <c:pt idx="204">
                  <c:v>318.42348151915388</c:v>
                </c:pt>
                <c:pt idx="205">
                  <c:v>324.68011582350863</c:v>
                </c:pt>
                <c:pt idx="206">
                  <c:v>327.92041782636818</c:v>
                </c:pt>
                <c:pt idx="207">
                  <c:v>328.06901746597686</c:v>
                </c:pt>
                <c:pt idx="208">
                  <c:v>322.70216291254889</c:v>
                </c:pt>
                <c:pt idx="209">
                  <c:v>330.4255711375161</c:v>
                </c:pt>
                <c:pt idx="210">
                  <c:v>333.88962969362638</c:v>
                </c:pt>
                <c:pt idx="211">
                  <c:v>329.90153024686907</c:v>
                </c:pt>
                <c:pt idx="212">
                  <c:v>321.66373039596954</c:v>
                </c:pt>
                <c:pt idx="213">
                  <c:v>321.76659815148895</c:v>
                </c:pt>
                <c:pt idx="214">
                  <c:v>310.58160740535345</c:v>
                </c:pt>
                <c:pt idx="215">
                  <c:v>300.64862422987852</c:v>
                </c:pt>
              </c:numCache>
            </c:numRef>
          </c:yVal>
          <c:smooth val="0"/>
        </c:ser>
        <c:ser>
          <c:idx val="1"/>
          <c:order val="1"/>
          <c:tx>
            <c:strRef>
              <c:f>'charts for prospectus'!$S$2</c:f>
              <c:strCache>
                <c:ptCount val="1"/>
                <c:pt idx="0">
                  <c:v>FFY</c:v>
                </c:pt>
              </c:strCache>
            </c:strRef>
          </c:tx>
          <c:spPr>
            <a:ln w="19050" cap="rnd">
              <a:solidFill>
                <a:schemeClr val="accent2"/>
              </a:solidFill>
              <a:round/>
            </a:ln>
            <a:effectLst/>
          </c:spPr>
          <c:marker>
            <c:symbol val="none"/>
          </c:marker>
          <c:xVal>
            <c:numRef>
              <c:f>'charts for prospectus'!$Q$3:$Q$218</c:f>
              <c:numCache>
                <c:formatCode>0</c:formatCode>
                <c:ptCount val="216"/>
                <c:pt idx="0">
                  <c:v>1999.625</c:v>
                </c:pt>
                <c:pt idx="1">
                  <c:v>1999.7083333333333</c:v>
                </c:pt>
                <c:pt idx="2">
                  <c:v>1999.7916666666665</c:v>
                </c:pt>
                <c:pt idx="3">
                  <c:v>1999.8749999999998</c:v>
                </c:pt>
                <c:pt idx="4">
                  <c:v>1999.958333333333</c:v>
                </c:pt>
                <c:pt idx="5">
                  <c:v>2000.0416666666663</c:v>
                </c:pt>
                <c:pt idx="6">
                  <c:v>2000.1249999999995</c:v>
                </c:pt>
                <c:pt idx="7">
                  <c:v>2000.2083333333328</c:v>
                </c:pt>
                <c:pt idx="8">
                  <c:v>2000.2916666666661</c:v>
                </c:pt>
                <c:pt idx="9">
                  <c:v>2000.3749999999993</c:v>
                </c:pt>
                <c:pt idx="10">
                  <c:v>2000.4583333333326</c:v>
                </c:pt>
                <c:pt idx="11">
                  <c:v>2000.5416666666658</c:v>
                </c:pt>
                <c:pt idx="12">
                  <c:v>2000.6249999999991</c:v>
                </c:pt>
                <c:pt idx="13">
                  <c:v>2000.7083333333323</c:v>
                </c:pt>
                <c:pt idx="14">
                  <c:v>2000.7916666666656</c:v>
                </c:pt>
                <c:pt idx="15">
                  <c:v>2000.8749999999989</c:v>
                </c:pt>
                <c:pt idx="16">
                  <c:v>2000.9583333333321</c:v>
                </c:pt>
                <c:pt idx="17">
                  <c:v>2001.0416666666654</c:v>
                </c:pt>
                <c:pt idx="18">
                  <c:v>2001.1249999999986</c:v>
                </c:pt>
                <c:pt idx="19">
                  <c:v>2001.2083333333319</c:v>
                </c:pt>
                <c:pt idx="20">
                  <c:v>2001.2916666666652</c:v>
                </c:pt>
                <c:pt idx="21">
                  <c:v>2001.3749999999984</c:v>
                </c:pt>
                <c:pt idx="22">
                  <c:v>2001.4583333333317</c:v>
                </c:pt>
                <c:pt idx="23">
                  <c:v>2001.5416666666649</c:v>
                </c:pt>
                <c:pt idx="24">
                  <c:v>2001.6249999999982</c:v>
                </c:pt>
                <c:pt idx="25">
                  <c:v>2001.7083333333314</c:v>
                </c:pt>
                <c:pt idx="26">
                  <c:v>2001.7916666666647</c:v>
                </c:pt>
                <c:pt idx="27">
                  <c:v>2001.874999999998</c:v>
                </c:pt>
                <c:pt idx="28">
                  <c:v>2001.9583333333312</c:v>
                </c:pt>
                <c:pt idx="29">
                  <c:v>2002.0416666666645</c:v>
                </c:pt>
                <c:pt idx="30">
                  <c:v>2002.1249999999977</c:v>
                </c:pt>
                <c:pt idx="31">
                  <c:v>2002.208333333331</c:v>
                </c:pt>
                <c:pt idx="32">
                  <c:v>2002.2916666666642</c:v>
                </c:pt>
                <c:pt idx="33">
                  <c:v>2002.3749999999975</c:v>
                </c:pt>
                <c:pt idx="34">
                  <c:v>2002.4583333333308</c:v>
                </c:pt>
                <c:pt idx="35">
                  <c:v>2002.541666666664</c:v>
                </c:pt>
                <c:pt idx="36">
                  <c:v>2002.6249999999973</c:v>
                </c:pt>
                <c:pt idx="37">
                  <c:v>2002.7083333333305</c:v>
                </c:pt>
                <c:pt idx="38">
                  <c:v>2002.7916666666638</c:v>
                </c:pt>
                <c:pt idx="39">
                  <c:v>2002.874999999997</c:v>
                </c:pt>
                <c:pt idx="40">
                  <c:v>2002.9583333333303</c:v>
                </c:pt>
                <c:pt idx="41">
                  <c:v>2003.0416666666636</c:v>
                </c:pt>
                <c:pt idx="42">
                  <c:v>2003.1249999999968</c:v>
                </c:pt>
                <c:pt idx="43">
                  <c:v>2003.2083333333301</c:v>
                </c:pt>
                <c:pt idx="44">
                  <c:v>2003.2916666666633</c:v>
                </c:pt>
                <c:pt idx="45">
                  <c:v>2003.3749999999966</c:v>
                </c:pt>
                <c:pt idx="46">
                  <c:v>2003.4583333333298</c:v>
                </c:pt>
                <c:pt idx="47">
                  <c:v>2003.5416666666631</c:v>
                </c:pt>
                <c:pt idx="48">
                  <c:v>2003.6249999999964</c:v>
                </c:pt>
                <c:pt idx="49">
                  <c:v>2003.7083333333296</c:v>
                </c:pt>
                <c:pt idx="50">
                  <c:v>2003.7916666666629</c:v>
                </c:pt>
                <c:pt idx="51">
                  <c:v>2003.8749999999961</c:v>
                </c:pt>
                <c:pt idx="52">
                  <c:v>2003.9583333333294</c:v>
                </c:pt>
                <c:pt idx="53">
                  <c:v>2004.0416666666626</c:v>
                </c:pt>
                <c:pt idx="54">
                  <c:v>2004.1249999999959</c:v>
                </c:pt>
                <c:pt idx="55">
                  <c:v>2004.2083333333292</c:v>
                </c:pt>
                <c:pt idx="56">
                  <c:v>2004.2916666666624</c:v>
                </c:pt>
                <c:pt idx="57">
                  <c:v>2004.3749999999957</c:v>
                </c:pt>
                <c:pt idx="58">
                  <c:v>2004.4583333333289</c:v>
                </c:pt>
                <c:pt idx="59">
                  <c:v>2004.5416666666622</c:v>
                </c:pt>
                <c:pt idx="60">
                  <c:v>2004.6249999999955</c:v>
                </c:pt>
                <c:pt idx="61">
                  <c:v>2004.7083333333287</c:v>
                </c:pt>
                <c:pt idx="62">
                  <c:v>2004.791666666662</c:v>
                </c:pt>
                <c:pt idx="63">
                  <c:v>2004.8749999999952</c:v>
                </c:pt>
                <c:pt idx="64">
                  <c:v>2004.9583333333285</c:v>
                </c:pt>
                <c:pt idx="65">
                  <c:v>2005.0416666666617</c:v>
                </c:pt>
                <c:pt idx="66">
                  <c:v>2005.124999999995</c:v>
                </c:pt>
                <c:pt idx="67">
                  <c:v>2005.2083333333283</c:v>
                </c:pt>
                <c:pt idx="68">
                  <c:v>2005.2916666666615</c:v>
                </c:pt>
                <c:pt idx="69">
                  <c:v>2005.3749999999948</c:v>
                </c:pt>
                <c:pt idx="70">
                  <c:v>2005.458333333328</c:v>
                </c:pt>
                <c:pt idx="71">
                  <c:v>2005.5416666666613</c:v>
                </c:pt>
                <c:pt idx="72">
                  <c:v>2005.6249999999945</c:v>
                </c:pt>
                <c:pt idx="73">
                  <c:v>2005.7083333333278</c:v>
                </c:pt>
                <c:pt idx="74">
                  <c:v>2005.7916666666611</c:v>
                </c:pt>
                <c:pt idx="75">
                  <c:v>2005.8749999999943</c:v>
                </c:pt>
                <c:pt idx="76">
                  <c:v>2005.9583333333276</c:v>
                </c:pt>
                <c:pt idx="77">
                  <c:v>2006.0416666666608</c:v>
                </c:pt>
                <c:pt idx="78">
                  <c:v>2006.1249999999941</c:v>
                </c:pt>
                <c:pt idx="79">
                  <c:v>2006.2083333333273</c:v>
                </c:pt>
                <c:pt idx="80">
                  <c:v>2006.2916666666606</c:v>
                </c:pt>
                <c:pt idx="81">
                  <c:v>2006.3749999999939</c:v>
                </c:pt>
                <c:pt idx="82">
                  <c:v>2006.4583333333271</c:v>
                </c:pt>
                <c:pt idx="83">
                  <c:v>2006.5416666666604</c:v>
                </c:pt>
                <c:pt idx="84">
                  <c:v>2006.6249999999936</c:v>
                </c:pt>
                <c:pt idx="85">
                  <c:v>2006.7083333333269</c:v>
                </c:pt>
                <c:pt idx="86">
                  <c:v>2006.7916666666601</c:v>
                </c:pt>
                <c:pt idx="87">
                  <c:v>2006.8749999999934</c:v>
                </c:pt>
                <c:pt idx="88">
                  <c:v>2006.9583333333267</c:v>
                </c:pt>
                <c:pt idx="89">
                  <c:v>2007.0416666666599</c:v>
                </c:pt>
                <c:pt idx="90">
                  <c:v>2007.1249999999932</c:v>
                </c:pt>
                <c:pt idx="91">
                  <c:v>2007.2083333333264</c:v>
                </c:pt>
                <c:pt idx="92">
                  <c:v>2007.2916666666597</c:v>
                </c:pt>
                <c:pt idx="93">
                  <c:v>2007.374999999993</c:v>
                </c:pt>
                <c:pt idx="94">
                  <c:v>2007.4583333333262</c:v>
                </c:pt>
                <c:pt idx="95">
                  <c:v>2007.5416666666595</c:v>
                </c:pt>
                <c:pt idx="96">
                  <c:v>2007.6249999999927</c:v>
                </c:pt>
                <c:pt idx="97">
                  <c:v>2007.708333333326</c:v>
                </c:pt>
                <c:pt idx="98">
                  <c:v>2007.7916666666592</c:v>
                </c:pt>
                <c:pt idx="99">
                  <c:v>2007.8749999999925</c:v>
                </c:pt>
                <c:pt idx="100">
                  <c:v>2007.9583333333258</c:v>
                </c:pt>
                <c:pt idx="101">
                  <c:v>2008.041666666659</c:v>
                </c:pt>
                <c:pt idx="102">
                  <c:v>2008.1249999999923</c:v>
                </c:pt>
                <c:pt idx="103">
                  <c:v>2008.2083333333255</c:v>
                </c:pt>
                <c:pt idx="104">
                  <c:v>2008.2916666666588</c:v>
                </c:pt>
                <c:pt idx="105">
                  <c:v>2008.374999999992</c:v>
                </c:pt>
                <c:pt idx="106">
                  <c:v>2008.4583333333253</c:v>
                </c:pt>
                <c:pt idx="107">
                  <c:v>2008.5416666666586</c:v>
                </c:pt>
                <c:pt idx="108">
                  <c:v>2008.6249999999918</c:v>
                </c:pt>
                <c:pt idx="109">
                  <c:v>2008.7083333333251</c:v>
                </c:pt>
                <c:pt idx="110">
                  <c:v>2008.7916666666583</c:v>
                </c:pt>
                <c:pt idx="111">
                  <c:v>2008.8749999999916</c:v>
                </c:pt>
                <c:pt idx="112">
                  <c:v>2008.9583333333248</c:v>
                </c:pt>
                <c:pt idx="113">
                  <c:v>2009.0416666666581</c:v>
                </c:pt>
                <c:pt idx="114">
                  <c:v>2009.1249999999914</c:v>
                </c:pt>
                <c:pt idx="115">
                  <c:v>2009.2083333333246</c:v>
                </c:pt>
                <c:pt idx="116">
                  <c:v>2009.2916666666579</c:v>
                </c:pt>
                <c:pt idx="117">
                  <c:v>2009.3749999999911</c:v>
                </c:pt>
                <c:pt idx="118">
                  <c:v>2009.4583333333244</c:v>
                </c:pt>
                <c:pt idx="119">
                  <c:v>2009.5416666666576</c:v>
                </c:pt>
                <c:pt idx="120">
                  <c:v>2009.6249999999909</c:v>
                </c:pt>
                <c:pt idx="121">
                  <c:v>2009.7083333333242</c:v>
                </c:pt>
                <c:pt idx="122">
                  <c:v>2009.7916666666574</c:v>
                </c:pt>
                <c:pt idx="123">
                  <c:v>2009.8749999999907</c:v>
                </c:pt>
                <c:pt idx="124">
                  <c:v>2009.9583333333239</c:v>
                </c:pt>
                <c:pt idx="125">
                  <c:v>2010.0416666666572</c:v>
                </c:pt>
                <c:pt idx="126">
                  <c:v>2010.1249999999905</c:v>
                </c:pt>
                <c:pt idx="127">
                  <c:v>2010.2083333333237</c:v>
                </c:pt>
                <c:pt idx="128">
                  <c:v>2010.291666666657</c:v>
                </c:pt>
                <c:pt idx="129">
                  <c:v>2010.3749999999902</c:v>
                </c:pt>
                <c:pt idx="130">
                  <c:v>2010.4583333333235</c:v>
                </c:pt>
                <c:pt idx="131">
                  <c:v>2010.5416666666567</c:v>
                </c:pt>
                <c:pt idx="132">
                  <c:v>2010.62499999999</c:v>
                </c:pt>
                <c:pt idx="133">
                  <c:v>2010.7083333333233</c:v>
                </c:pt>
                <c:pt idx="134">
                  <c:v>2010.7916666666565</c:v>
                </c:pt>
                <c:pt idx="135">
                  <c:v>2010.8749999999898</c:v>
                </c:pt>
                <c:pt idx="136">
                  <c:v>2010.958333333323</c:v>
                </c:pt>
                <c:pt idx="137">
                  <c:v>2011.0416666666563</c:v>
                </c:pt>
                <c:pt idx="138">
                  <c:v>2011.1249999999895</c:v>
                </c:pt>
                <c:pt idx="139">
                  <c:v>2011.2083333333228</c:v>
                </c:pt>
                <c:pt idx="140">
                  <c:v>2011.2916666666561</c:v>
                </c:pt>
                <c:pt idx="141">
                  <c:v>2011.3749999999893</c:v>
                </c:pt>
                <c:pt idx="142">
                  <c:v>2011.4583333333226</c:v>
                </c:pt>
                <c:pt idx="143">
                  <c:v>2011.5416666666558</c:v>
                </c:pt>
                <c:pt idx="144">
                  <c:v>2011.6249999999891</c:v>
                </c:pt>
                <c:pt idx="145">
                  <c:v>2011.7083333333223</c:v>
                </c:pt>
                <c:pt idx="146">
                  <c:v>2011.7916666666556</c:v>
                </c:pt>
                <c:pt idx="147">
                  <c:v>2011.8749999999889</c:v>
                </c:pt>
                <c:pt idx="148">
                  <c:v>2011.9583333333221</c:v>
                </c:pt>
                <c:pt idx="149">
                  <c:v>2012.0416666666554</c:v>
                </c:pt>
                <c:pt idx="150">
                  <c:v>2012.1249999999886</c:v>
                </c:pt>
                <c:pt idx="151">
                  <c:v>2012.2083333333219</c:v>
                </c:pt>
                <c:pt idx="152">
                  <c:v>2012.2916666666551</c:v>
                </c:pt>
                <c:pt idx="153">
                  <c:v>2012.3749999999884</c:v>
                </c:pt>
                <c:pt idx="154">
                  <c:v>2012.4583333333217</c:v>
                </c:pt>
                <c:pt idx="155">
                  <c:v>2012.5416666666549</c:v>
                </c:pt>
                <c:pt idx="156">
                  <c:v>2012.6249999999882</c:v>
                </c:pt>
                <c:pt idx="157">
                  <c:v>2012.7083333333214</c:v>
                </c:pt>
                <c:pt idx="158">
                  <c:v>2012.7916666666547</c:v>
                </c:pt>
                <c:pt idx="159">
                  <c:v>2012.8749999999879</c:v>
                </c:pt>
                <c:pt idx="160">
                  <c:v>2012.9583333333212</c:v>
                </c:pt>
                <c:pt idx="161">
                  <c:v>2013.0416666666545</c:v>
                </c:pt>
                <c:pt idx="162">
                  <c:v>2013.1249999999877</c:v>
                </c:pt>
                <c:pt idx="163">
                  <c:v>2013.208333333321</c:v>
                </c:pt>
                <c:pt idx="164">
                  <c:v>2013.2916666666542</c:v>
                </c:pt>
                <c:pt idx="165">
                  <c:v>2013.3749999999875</c:v>
                </c:pt>
                <c:pt idx="166">
                  <c:v>2013.4583333333208</c:v>
                </c:pt>
                <c:pt idx="167">
                  <c:v>2013.541666666654</c:v>
                </c:pt>
                <c:pt idx="168">
                  <c:v>2013.6249999999873</c:v>
                </c:pt>
                <c:pt idx="169">
                  <c:v>2013.7083333333205</c:v>
                </c:pt>
                <c:pt idx="170">
                  <c:v>2013.7916666666538</c:v>
                </c:pt>
                <c:pt idx="171">
                  <c:v>2013.874999999987</c:v>
                </c:pt>
                <c:pt idx="172">
                  <c:v>2013.9583333333203</c:v>
                </c:pt>
                <c:pt idx="173">
                  <c:v>2014.0416666666536</c:v>
                </c:pt>
                <c:pt idx="174">
                  <c:v>2014.1249999999868</c:v>
                </c:pt>
                <c:pt idx="175">
                  <c:v>2014.2083333333201</c:v>
                </c:pt>
                <c:pt idx="176">
                  <c:v>2014.2916666666533</c:v>
                </c:pt>
                <c:pt idx="177">
                  <c:v>2014.3749999999866</c:v>
                </c:pt>
                <c:pt idx="178">
                  <c:v>2014.4583333333198</c:v>
                </c:pt>
                <c:pt idx="179">
                  <c:v>2014.5416666666531</c:v>
                </c:pt>
                <c:pt idx="180">
                  <c:v>2014.6249999999864</c:v>
                </c:pt>
                <c:pt idx="181">
                  <c:v>2014.7083333333196</c:v>
                </c:pt>
                <c:pt idx="182">
                  <c:v>2014.7916666666529</c:v>
                </c:pt>
                <c:pt idx="183">
                  <c:v>2014.8749999999861</c:v>
                </c:pt>
                <c:pt idx="184">
                  <c:v>2014.9583333333194</c:v>
                </c:pt>
                <c:pt idx="185">
                  <c:v>2015.0416666666526</c:v>
                </c:pt>
                <c:pt idx="186">
                  <c:v>2015.1249999999859</c:v>
                </c:pt>
                <c:pt idx="187">
                  <c:v>2015.2083333333192</c:v>
                </c:pt>
                <c:pt idx="188">
                  <c:v>2015.2916666666524</c:v>
                </c:pt>
                <c:pt idx="189">
                  <c:v>2015.3749999999857</c:v>
                </c:pt>
                <c:pt idx="190">
                  <c:v>2015.4583333333189</c:v>
                </c:pt>
                <c:pt idx="191">
                  <c:v>2015.5416666666522</c:v>
                </c:pt>
                <c:pt idx="192">
                  <c:v>2015.6249999999854</c:v>
                </c:pt>
                <c:pt idx="193">
                  <c:v>2015.7083333333187</c:v>
                </c:pt>
                <c:pt idx="194">
                  <c:v>2015.791666666652</c:v>
                </c:pt>
                <c:pt idx="195">
                  <c:v>2015.8749999999852</c:v>
                </c:pt>
                <c:pt idx="196">
                  <c:v>2015.9583333333185</c:v>
                </c:pt>
                <c:pt idx="197">
                  <c:v>2016.0416666666517</c:v>
                </c:pt>
                <c:pt idx="198">
                  <c:v>2016.124999999985</c:v>
                </c:pt>
                <c:pt idx="199">
                  <c:v>2016.2083333333183</c:v>
                </c:pt>
                <c:pt idx="200">
                  <c:v>2016.2916666666515</c:v>
                </c:pt>
                <c:pt idx="201">
                  <c:v>2016.3749999999848</c:v>
                </c:pt>
                <c:pt idx="202">
                  <c:v>2016.458333333318</c:v>
                </c:pt>
                <c:pt idx="203">
                  <c:v>2016.5416666666513</c:v>
                </c:pt>
                <c:pt idx="204">
                  <c:v>2016.6249999999845</c:v>
                </c:pt>
                <c:pt idx="205">
                  <c:v>2016.7083333333178</c:v>
                </c:pt>
                <c:pt idx="206">
                  <c:v>2016.7916666666511</c:v>
                </c:pt>
                <c:pt idx="207">
                  <c:v>2016.8749999999843</c:v>
                </c:pt>
                <c:pt idx="208">
                  <c:v>2016.9583333333176</c:v>
                </c:pt>
                <c:pt idx="209">
                  <c:v>2017.0416666666508</c:v>
                </c:pt>
                <c:pt idx="210">
                  <c:v>2017.1249999999841</c:v>
                </c:pt>
                <c:pt idx="211">
                  <c:v>2017.2083333333173</c:v>
                </c:pt>
                <c:pt idx="212">
                  <c:v>2017.2916666666506</c:v>
                </c:pt>
                <c:pt idx="213">
                  <c:v>2017.3749999999839</c:v>
                </c:pt>
                <c:pt idx="214">
                  <c:v>2017.4583333333171</c:v>
                </c:pt>
                <c:pt idx="215">
                  <c:v>2017.5416666666504</c:v>
                </c:pt>
              </c:numCache>
            </c:numRef>
          </c:xVal>
          <c:yVal>
            <c:numRef>
              <c:f>'charts for prospectus'!$S$3:$S$218</c:f>
              <c:numCache>
                <c:formatCode>General</c:formatCode>
                <c:ptCount val="216"/>
                <c:pt idx="0">
                  <c:v>100</c:v>
                </c:pt>
                <c:pt idx="1">
                  <c:v>99.95</c:v>
                </c:pt>
                <c:pt idx="2">
                  <c:v>100.799575</c:v>
                </c:pt>
                <c:pt idx="3">
                  <c:v>101.19269334250001</c:v>
                </c:pt>
                <c:pt idx="4">
                  <c:v>101.8605651185605</c:v>
                </c:pt>
                <c:pt idx="5">
                  <c:v>102.89954288276982</c:v>
                </c:pt>
                <c:pt idx="6">
                  <c:v>103.16708169426502</c:v>
                </c:pt>
                <c:pt idx="7">
                  <c:v>103.47658293934781</c:v>
                </c:pt>
                <c:pt idx="8">
                  <c:v>104.48030579385949</c:v>
                </c:pt>
                <c:pt idx="9">
                  <c:v>105.19077187325772</c:v>
                </c:pt>
                <c:pt idx="10">
                  <c:v>106.02177897105645</c:v>
                </c:pt>
                <c:pt idx="11">
                  <c:v>106.14900510582173</c:v>
                </c:pt>
                <c:pt idx="12">
                  <c:v>107.77308488394081</c:v>
                </c:pt>
                <c:pt idx="13">
                  <c:v>108.59216032905877</c:v>
                </c:pt>
                <c:pt idx="14">
                  <c:v>108.29896149617031</c:v>
                </c:pt>
                <c:pt idx="15">
                  <c:v>108.43975014611534</c:v>
                </c:pt>
                <c:pt idx="16">
                  <c:v>108.06021102060394</c:v>
                </c:pt>
                <c:pt idx="17">
                  <c:v>108.44922778027812</c:v>
                </c:pt>
                <c:pt idx="18">
                  <c:v>110.73750648644197</c:v>
                </c:pt>
                <c:pt idx="19">
                  <c:v>111.02542400330671</c:v>
                </c:pt>
                <c:pt idx="20">
                  <c:v>113.03498417776656</c:v>
                </c:pt>
                <c:pt idx="21">
                  <c:v>113.34017863504653</c:v>
                </c:pt>
                <c:pt idx="22">
                  <c:v>114.88160506448317</c:v>
                </c:pt>
                <c:pt idx="23">
                  <c:v>114.72077081739289</c:v>
                </c:pt>
                <c:pt idx="24">
                  <c:v>115.13376559233551</c:v>
                </c:pt>
                <c:pt idx="25">
                  <c:v>117.41341415106376</c:v>
                </c:pt>
                <c:pt idx="26">
                  <c:v>117.81261975917738</c:v>
                </c:pt>
                <c:pt idx="27">
                  <c:v>118.4134641199492</c:v>
                </c:pt>
                <c:pt idx="28">
                  <c:v>119.90547376786056</c:v>
                </c:pt>
                <c:pt idx="29">
                  <c:v>120.36111456817844</c:v>
                </c:pt>
                <c:pt idx="30">
                  <c:v>121.19160625869885</c:v>
                </c:pt>
                <c:pt idx="31">
                  <c:v>122.46411812441519</c:v>
                </c:pt>
                <c:pt idx="32">
                  <c:v>122.97846742053774</c:v>
                </c:pt>
                <c:pt idx="33">
                  <c:v>123.83931669248149</c:v>
                </c:pt>
                <c:pt idx="34">
                  <c:v>123.86408455581999</c:v>
                </c:pt>
                <c:pt idx="35">
                  <c:v>124.07465349956489</c:v>
                </c:pt>
                <c:pt idx="36">
                  <c:v>123.28057571716768</c:v>
                </c:pt>
                <c:pt idx="37">
                  <c:v>123.4408404656</c:v>
                </c:pt>
                <c:pt idx="38">
                  <c:v>125.0826036437925</c:v>
                </c:pt>
                <c:pt idx="39">
                  <c:v>125.38280189253759</c:v>
                </c:pt>
                <c:pt idx="40">
                  <c:v>126.74947443316623</c:v>
                </c:pt>
                <c:pt idx="41">
                  <c:v>127.00297338203256</c:v>
                </c:pt>
                <c:pt idx="42">
                  <c:v>129.36522868693837</c:v>
                </c:pt>
                <c:pt idx="43">
                  <c:v>130.69769054241382</c:v>
                </c:pt>
                <c:pt idx="44">
                  <c:v>132.21378375270584</c:v>
                </c:pt>
                <c:pt idx="45">
                  <c:v>135.28114353576862</c:v>
                </c:pt>
                <c:pt idx="46">
                  <c:v>137.64856354764459</c:v>
                </c:pt>
                <c:pt idx="47">
                  <c:v>140.5942428075642</c:v>
                </c:pt>
                <c:pt idx="48">
                  <c:v>140.86137186889857</c:v>
                </c:pt>
                <c:pt idx="49">
                  <c:v>142.57988060569915</c:v>
                </c:pt>
                <c:pt idx="50">
                  <c:v>142.23768889224547</c:v>
                </c:pt>
                <c:pt idx="51">
                  <c:v>143.63161824338948</c:v>
                </c:pt>
                <c:pt idx="52">
                  <c:v>145.87227148798635</c:v>
                </c:pt>
                <c:pt idx="53">
                  <c:v>146.99548797844386</c:v>
                </c:pt>
                <c:pt idx="54">
                  <c:v>147.0395866248374</c:v>
                </c:pt>
                <c:pt idx="55">
                  <c:v>148.71583791236054</c:v>
                </c:pt>
                <c:pt idx="56">
                  <c:v>151.13990607033202</c:v>
                </c:pt>
                <c:pt idx="57">
                  <c:v>151.45729987307971</c:v>
                </c:pt>
                <c:pt idx="58">
                  <c:v>155.57693842962746</c:v>
                </c:pt>
                <c:pt idx="59">
                  <c:v>156.66597699863485</c:v>
                </c:pt>
                <c:pt idx="60">
                  <c:v>157.35530729742882</c:v>
                </c:pt>
                <c:pt idx="61">
                  <c:v>160.14049623659332</c:v>
                </c:pt>
                <c:pt idx="62">
                  <c:v>162.318406985411</c:v>
                </c:pt>
                <c:pt idx="63">
                  <c:v>164.28245970993447</c:v>
                </c:pt>
                <c:pt idx="64">
                  <c:v>164.41388567770241</c:v>
                </c:pt>
                <c:pt idx="65">
                  <c:v>167.22536312279109</c:v>
                </c:pt>
                <c:pt idx="66">
                  <c:v>169.33240269813825</c:v>
                </c:pt>
                <c:pt idx="67">
                  <c:v>169.31546945786843</c:v>
                </c:pt>
                <c:pt idx="68">
                  <c:v>170.89010332382662</c:v>
                </c:pt>
                <c:pt idx="69">
                  <c:v>174.0686592456498</c:v>
                </c:pt>
                <c:pt idx="70">
                  <c:v>174.08606611157435</c:v>
                </c:pt>
                <c:pt idx="71">
                  <c:v>175.58320628013388</c:v>
                </c:pt>
                <c:pt idx="72">
                  <c:v>178.41009590124403</c:v>
                </c:pt>
                <c:pt idx="73">
                  <c:v>180.85431421509108</c:v>
                </c:pt>
                <c:pt idx="74">
                  <c:v>182.2649778659688</c:v>
                </c:pt>
                <c:pt idx="75">
                  <c:v>187.27726475728295</c:v>
                </c:pt>
                <c:pt idx="76">
                  <c:v>187.82036882507904</c:v>
                </c:pt>
                <c:pt idx="77">
                  <c:v>189.22902159126716</c:v>
                </c:pt>
                <c:pt idx="78">
                  <c:v>189.70209414524533</c:v>
                </c:pt>
                <c:pt idx="79">
                  <c:v>190.95412796660392</c:v>
                </c:pt>
                <c:pt idx="80">
                  <c:v>192.34809310076014</c:v>
                </c:pt>
                <c:pt idx="81">
                  <c:v>192.1365101983493</c:v>
                </c:pt>
                <c:pt idx="82">
                  <c:v>193.17404735342041</c:v>
                </c:pt>
                <c:pt idx="83">
                  <c:v>194.87397897013048</c:v>
                </c:pt>
                <c:pt idx="84">
                  <c:v>195.49757570283492</c:v>
                </c:pt>
                <c:pt idx="85">
                  <c:v>200.95195806494402</c:v>
                </c:pt>
                <c:pt idx="86">
                  <c:v>201.27348119784793</c:v>
                </c:pt>
                <c:pt idx="87">
                  <c:v>204.99704060000812</c:v>
                </c:pt>
                <c:pt idx="88">
                  <c:v>207.51850419938822</c:v>
                </c:pt>
                <c:pt idx="89">
                  <c:v>207.5600079002281</c:v>
                </c:pt>
                <c:pt idx="90">
                  <c:v>207.95437191523854</c:v>
                </c:pt>
                <c:pt idx="91">
                  <c:v>212.90368596682123</c:v>
                </c:pt>
                <c:pt idx="92">
                  <c:v>213.84046218507524</c:v>
                </c:pt>
                <c:pt idx="93">
                  <c:v>216.44931582373314</c:v>
                </c:pt>
                <c:pt idx="94">
                  <c:v>219.08999747678268</c:v>
                </c:pt>
                <c:pt idx="95">
                  <c:v>220.4702644608864</c:v>
                </c:pt>
                <c:pt idx="96">
                  <c:v>221.92536820632824</c:v>
                </c:pt>
                <c:pt idx="97">
                  <c:v>224.76601291936922</c:v>
                </c:pt>
                <c:pt idx="98">
                  <c:v>226.11460899688544</c:v>
                </c:pt>
                <c:pt idx="99">
                  <c:v>230.9534616294188</c:v>
                </c:pt>
                <c:pt idx="100">
                  <c:v>232.9396613994318</c:v>
                </c:pt>
                <c:pt idx="101">
                  <c:v>234.91964852132696</c:v>
                </c:pt>
                <c:pt idx="102">
                  <c:v>234.59076101339713</c:v>
                </c:pt>
                <c:pt idx="103">
                  <c:v>236.4674871015043</c:v>
                </c:pt>
                <c:pt idx="104">
                  <c:v>240.29826039254868</c:v>
                </c:pt>
                <c:pt idx="105">
                  <c:v>240.99512534768706</c:v>
                </c:pt>
                <c:pt idx="106">
                  <c:v>242.24829999949506</c:v>
                </c:pt>
                <c:pt idx="107">
                  <c:v>242.68434693949416</c:v>
                </c:pt>
                <c:pt idx="108">
                  <c:v>243.43666841500661</c:v>
                </c:pt>
                <c:pt idx="109">
                  <c:v>246.01709710020566</c:v>
                </c:pt>
                <c:pt idx="110">
                  <c:v>247.14877574686659</c:v>
                </c:pt>
                <c:pt idx="111">
                  <c:v>249.47197423888716</c:v>
                </c:pt>
                <c:pt idx="112">
                  <c:v>250.54470372811437</c:v>
                </c:pt>
                <c:pt idx="113">
                  <c:v>250.82030290221533</c:v>
                </c:pt>
                <c:pt idx="114">
                  <c:v>258.369994019572</c:v>
                </c:pt>
                <c:pt idx="115">
                  <c:v>260.23025797651297</c:v>
                </c:pt>
                <c:pt idx="116">
                  <c:v>262.65039937569458</c:v>
                </c:pt>
                <c:pt idx="117">
                  <c:v>263.85859121282277</c:v>
                </c:pt>
                <c:pt idx="118">
                  <c:v>264.96679729591665</c:v>
                </c:pt>
                <c:pt idx="119">
                  <c:v>266.31812796212586</c:v>
                </c:pt>
                <c:pt idx="120">
                  <c:v>271.77764958534942</c:v>
                </c:pt>
                <c:pt idx="121">
                  <c:v>274.93027032053948</c:v>
                </c:pt>
                <c:pt idx="122">
                  <c:v>278.61433594283471</c:v>
                </c:pt>
                <c:pt idx="123">
                  <c:v>279.75665472020034</c:v>
                </c:pt>
                <c:pt idx="124">
                  <c:v>282.63814826381838</c:v>
                </c:pt>
                <c:pt idx="125">
                  <c:v>283.65564559756814</c:v>
                </c:pt>
                <c:pt idx="126">
                  <c:v>284.59170922804014</c:v>
                </c:pt>
                <c:pt idx="127">
                  <c:v>285.64469855218391</c:v>
                </c:pt>
                <c:pt idx="128">
                  <c:v>295.04240913455072</c:v>
                </c:pt>
                <c:pt idx="129">
                  <c:v>297.01919327575217</c:v>
                </c:pt>
                <c:pt idx="130">
                  <c:v>301.92000996480209</c:v>
                </c:pt>
                <c:pt idx="131">
                  <c:v>308.62263418602072</c:v>
                </c:pt>
                <c:pt idx="132">
                  <c:v>317.17148115297351</c:v>
                </c:pt>
                <c:pt idx="133">
                  <c:v>316.98117826428171</c:v>
                </c:pt>
                <c:pt idx="134">
                  <c:v>318.56608415560311</c:v>
                </c:pt>
                <c:pt idx="135">
                  <c:v>320.8279033531079</c:v>
                </c:pt>
                <c:pt idx="136">
                  <c:v>323.42660937026807</c:v>
                </c:pt>
                <c:pt idx="137">
                  <c:v>326.79024610771887</c:v>
                </c:pt>
                <c:pt idx="138">
                  <c:v>329.60064222424523</c:v>
                </c:pt>
                <c:pt idx="139">
                  <c:v>331.11680517847674</c:v>
                </c:pt>
                <c:pt idx="140">
                  <c:v>331.11680517847674</c:v>
                </c:pt>
                <c:pt idx="141">
                  <c:v>332.04393223297643</c:v>
                </c:pt>
                <c:pt idx="142">
                  <c:v>333.50492553480149</c:v>
                </c:pt>
                <c:pt idx="143">
                  <c:v>334.70554326672681</c:v>
                </c:pt>
                <c:pt idx="144">
                  <c:v>340.4290080565878</c:v>
                </c:pt>
                <c:pt idx="145">
                  <c:v>340.29283645336517</c:v>
                </c:pt>
                <c:pt idx="146">
                  <c:v>345.12499473100297</c:v>
                </c:pt>
                <c:pt idx="147">
                  <c:v>350.26735715249487</c:v>
                </c:pt>
                <c:pt idx="148">
                  <c:v>348.72618078102391</c:v>
                </c:pt>
                <c:pt idx="149">
                  <c:v>353.12013065886481</c:v>
                </c:pt>
                <c:pt idx="150">
                  <c:v>355.76853163880634</c:v>
                </c:pt>
                <c:pt idx="151">
                  <c:v>360.39352255011079</c:v>
                </c:pt>
                <c:pt idx="152">
                  <c:v>360.06916837981566</c:v>
                </c:pt>
                <c:pt idx="153">
                  <c:v>364.60603990140135</c:v>
                </c:pt>
                <c:pt idx="154">
                  <c:v>370.80434257972513</c:v>
                </c:pt>
                <c:pt idx="155">
                  <c:v>377.55298161467613</c:v>
                </c:pt>
                <c:pt idx="156">
                  <c:v>379.93156539884859</c:v>
                </c:pt>
                <c:pt idx="157">
                  <c:v>383.00901107857925</c:v>
                </c:pt>
                <c:pt idx="158">
                  <c:v>386.60929578271794</c:v>
                </c:pt>
                <c:pt idx="159">
                  <c:v>388.89029062783595</c:v>
                </c:pt>
                <c:pt idx="160">
                  <c:v>392.23474712723532</c:v>
                </c:pt>
                <c:pt idx="161">
                  <c:v>398.94196130311099</c:v>
                </c:pt>
                <c:pt idx="162">
                  <c:v>400.4978349521931</c:v>
                </c:pt>
                <c:pt idx="163">
                  <c:v>401.09858170462144</c:v>
                </c:pt>
                <c:pt idx="164">
                  <c:v>407.15517028836121</c:v>
                </c:pt>
                <c:pt idx="165">
                  <c:v>409.84239441226435</c:v>
                </c:pt>
                <c:pt idx="166">
                  <c:v>411.85062214488443</c:v>
                </c:pt>
                <c:pt idx="167">
                  <c:v>417.82245616598522</c:v>
                </c:pt>
                <c:pt idx="168">
                  <c:v>422.29315644696123</c:v>
                </c:pt>
                <c:pt idx="169">
                  <c:v>423.77118249452565</c:v>
                </c:pt>
                <c:pt idx="170">
                  <c:v>426.2290553529939</c:v>
                </c:pt>
                <c:pt idx="171">
                  <c:v>433.85855544381252</c:v>
                </c:pt>
                <c:pt idx="172">
                  <c:v>434.55272913252264</c:v>
                </c:pt>
                <c:pt idx="173">
                  <c:v>443.20032844225983</c:v>
                </c:pt>
                <c:pt idx="174">
                  <c:v>449.40513304045146</c:v>
                </c:pt>
                <c:pt idx="175">
                  <c:v>449.13548996062718</c:v>
                </c:pt>
                <c:pt idx="176">
                  <c:v>450.16850158753664</c:v>
                </c:pt>
                <c:pt idx="177">
                  <c:v>454.58015290309453</c:v>
                </c:pt>
                <c:pt idx="178">
                  <c:v>460.53515290612512</c:v>
                </c:pt>
                <c:pt idx="179">
                  <c:v>462.23913297187778</c:v>
                </c:pt>
                <c:pt idx="180">
                  <c:v>463.07116341122719</c:v>
                </c:pt>
                <c:pt idx="181">
                  <c:v>470.71183760751239</c:v>
                </c:pt>
                <c:pt idx="182">
                  <c:v>470.85305115879464</c:v>
                </c:pt>
                <c:pt idx="183">
                  <c:v>478.76338241826238</c:v>
                </c:pt>
                <c:pt idx="184">
                  <c:v>482.54561313936665</c:v>
                </c:pt>
                <c:pt idx="185">
                  <c:v>483.02815875250599</c:v>
                </c:pt>
                <c:pt idx="186">
                  <c:v>486.31275023202301</c:v>
                </c:pt>
                <c:pt idx="187">
                  <c:v>487.43126955755662</c:v>
                </c:pt>
                <c:pt idx="188">
                  <c:v>490.45334342881347</c:v>
                </c:pt>
                <c:pt idx="189">
                  <c:v>491.82661279041412</c:v>
                </c:pt>
                <c:pt idx="190">
                  <c:v>494.43329383820333</c:v>
                </c:pt>
                <c:pt idx="191">
                  <c:v>497.25156361308109</c:v>
                </c:pt>
                <c:pt idx="192">
                  <c:v>500.08589752567565</c:v>
                </c:pt>
                <c:pt idx="193">
                  <c:v>504.33662765464385</c:v>
                </c:pt>
                <c:pt idx="194">
                  <c:v>512.1034117205254</c:v>
                </c:pt>
                <c:pt idx="195">
                  <c:v>516.91718379069835</c:v>
                </c:pt>
                <c:pt idx="196">
                  <c:v>521.51774672643546</c:v>
                </c:pt>
                <c:pt idx="197">
                  <c:v>526.21140644697334</c:v>
                </c:pt>
                <c:pt idx="198">
                  <c:v>535.10437921592711</c:v>
                </c:pt>
                <c:pt idx="199">
                  <c:v>534.62278527463275</c:v>
                </c:pt>
                <c:pt idx="200">
                  <c:v>535.37125717401727</c:v>
                </c:pt>
                <c:pt idx="201">
                  <c:v>535.69247992832163</c:v>
                </c:pt>
                <c:pt idx="202">
                  <c:v>541.58509720753307</c:v>
                </c:pt>
                <c:pt idx="203">
                  <c:v>545.8094609657519</c:v>
                </c:pt>
                <c:pt idx="204">
                  <c:v>550.55800327615395</c:v>
                </c:pt>
                <c:pt idx="205">
                  <c:v>556.06358330891555</c:v>
                </c:pt>
                <c:pt idx="206">
                  <c:v>565.18302607518171</c:v>
                </c:pt>
                <c:pt idx="207">
                  <c:v>566.31339212733212</c:v>
                </c:pt>
                <c:pt idx="208">
                  <c:v>566.25676078811944</c:v>
                </c:pt>
                <c:pt idx="209">
                  <c:v>570.39043514187279</c:v>
                </c:pt>
                <c:pt idx="210">
                  <c:v>580.99969723551158</c:v>
                </c:pt>
                <c:pt idx="211">
                  <c:v>585.99629463173699</c:v>
                </c:pt>
                <c:pt idx="212">
                  <c:v>594.49324090389712</c:v>
                </c:pt>
                <c:pt idx="213">
                  <c:v>602.34055168382861</c:v>
                </c:pt>
                <c:pt idx="214">
                  <c:v>602.70195601483886</c:v>
                </c:pt>
                <c:pt idx="215">
                  <c:v>603.72654934006414</c:v>
                </c:pt>
              </c:numCache>
            </c:numRef>
          </c:yVal>
          <c:smooth val="0"/>
        </c:ser>
        <c:ser>
          <c:idx val="2"/>
          <c:order val="2"/>
          <c:tx>
            <c:strRef>
              <c:f>'charts for prospectus'!$T$2</c:f>
              <c:strCache>
                <c:ptCount val="1"/>
                <c:pt idx="0">
                  <c:v>FFY 3X</c:v>
                </c:pt>
              </c:strCache>
            </c:strRef>
          </c:tx>
          <c:spPr>
            <a:ln w="19050" cap="rnd">
              <a:solidFill>
                <a:schemeClr val="accent3"/>
              </a:solidFill>
              <a:round/>
            </a:ln>
            <a:effectLst/>
          </c:spPr>
          <c:marker>
            <c:symbol val="none"/>
          </c:marker>
          <c:xVal>
            <c:numRef>
              <c:f>'charts for prospectus'!$Q$3:$Q$218</c:f>
              <c:numCache>
                <c:formatCode>0</c:formatCode>
                <c:ptCount val="216"/>
                <c:pt idx="0">
                  <c:v>1999.625</c:v>
                </c:pt>
                <c:pt idx="1">
                  <c:v>1999.7083333333333</c:v>
                </c:pt>
                <c:pt idx="2">
                  <c:v>1999.7916666666665</c:v>
                </c:pt>
                <c:pt idx="3">
                  <c:v>1999.8749999999998</c:v>
                </c:pt>
                <c:pt idx="4">
                  <c:v>1999.958333333333</c:v>
                </c:pt>
                <c:pt idx="5">
                  <c:v>2000.0416666666663</c:v>
                </c:pt>
                <c:pt idx="6">
                  <c:v>2000.1249999999995</c:v>
                </c:pt>
                <c:pt idx="7">
                  <c:v>2000.2083333333328</c:v>
                </c:pt>
                <c:pt idx="8">
                  <c:v>2000.2916666666661</c:v>
                </c:pt>
                <c:pt idx="9">
                  <c:v>2000.3749999999993</c:v>
                </c:pt>
                <c:pt idx="10">
                  <c:v>2000.4583333333326</c:v>
                </c:pt>
                <c:pt idx="11">
                  <c:v>2000.5416666666658</c:v>
                </c:pt>
                <c:pt idx="12">
                  <c:v>2000.6249999999991</c:v>
                </c:pt>
                <c:pt idx="13">
                  <c:v>2000.7083333333323</c:v>
                </c:pt>
                <c:pt idx="14">
                  <c:v>2000.7916666666656</c:v>
                </c:pt>
                <c:pt idx="15">
                  <c:v>2000.8749999999989</c:v>
                </c:pt>
                <c:pt idx="16">
                  <c:v>2000.9583333333321</c:v>
                </c:pt>
                <c:pt idx="17">
                  <c:v>2001.0416666666654</c:v>
                </c:pt>
                <c:pt idx="18">
                  <c:v>2001.1249999999986</c:v>
                </c:pt>
                <c:pt idx="19">
                  <c:v>2001.2083333333319</c:v>
                </c:pt>
                <c:pt idx="20">
                  <c:v>2001.2916666666652</c:v>
                </c:pt>
                <c:pt idx="21">
                  <c:v>2001.3749999999984</c:v>
                </c:pt>
                <c:pt idx="22">
                  <c:v>2001.4583333333317</c:v>
                </c:pt>
                <c:pt idx="23">
                  <c:v>2001.5416666666649</c:v>
                </c:pt>
                <c:pt idx="24">
                  <c:v>2001.6249999999982</c:v>
                </c:pt>
                <c:pt idx="25">
                  <c:v>2001.7083333333314</c:v>
                </c:pt>
                <c:pt idx="26">
                  <c:v>2001.7916666666647</c:v>
                </c:pt>
                <c:pt idx="27">
                  <c:v>2001.874999999998</c:v>
                </c:pt>
                <c:pt idx="28">
                  <c:v>2001.9583333333312</c:v>
                </c:pt>
                <c:pt idx="29">
                  <c:v>2002.0416666666645</c:v>
                </c:pt>
                <c:pt idx="30">
                  <c:v>2002.1249999999977</c:v>
                </c:pt>
                <c:pt idx="31">
                  <c:v>2002.208333333331</c:v>
                </c:pt>
                <c:pt idx="32">
                  <c:v>2002.2916666666642</c:v>
                </c:pt>
                <c:pt idx="33">
                  <c:v>2002.3749999999975</c:v>
                </c:pt>
                <c:pt idx="34">
                  <c:v>2002.4583333333308</c:v>
                </c:pt>
                <c:pt idx="35">
                  <c:v>2002.541666666664</c:v>
                </c:pt>
                <c:pt idx="36">
                  <c:v>2002.6249999999973</c:v>
                </c:pt>
                <c:pt idx="37">
                  <c:v>2002.7083333333305</c:v>
                </c:pt>
                <c:pt idx="38">
                  <c:v>2002.7916666666638</c:v>
                </c:pt>
                <c:pt idx="39">
                  <c:v>2002.874999999997</c:v>
                </c:pt>
                <c:pt idx="40">
                  <c:v>2002.9583333333303</c:v>
                </c:pt>
                <c:pt idx="41">
                  <c:v>2003.0416666666636</c:v>
                </c:pt>
                <c:pt idx="42">
                  <c:v>2003.1249999999968</c:v>
                </c:pt>
                <c:pt idx="43">
                  <c:v>2003.2083333333301</c:v>
                </c:pt>
                <c:pt idx="44">
                  <c:v>2003.2916666666633</c:v>
                </c:pt>
                <c:pt idx="45">
                  <c:v>2003.3749999999966</c:v>
                </c:pt>
                <c:pt idx="46">
                  <c:v>2003.4583333333298</c:v>
                </c:pt>
                <c:pt idx="47">
                  <c:v>2003.5416666666631</c:v>
                </c:pt>
                <c:pt idx="48">
                  <c:v>2003.6249999999964</c:v>
                </c:pt>
                <c:pt idx="49">
                  <c:v>2003.7083333333296</c:v>
                </c:pt>
                <c:pt idx="50">
                  <c:v>2003.7916666666629</c:v>
                </c:pt>
                <c:pt idx="51">
                  <c:v>2003.8749999999961</c:v>
                </c:pt>
                <c:pt idx="52">
                  <c:v>2003.9583333333294</c:v>
                </c:pt>
                <c:pt idx="53">
                  <c:v>2004.0416666666626</c:v>
                </c:pt>
                <c:pt idx="54">
                  <c:v>2004.1249999999959</c:v>
                </c:pt>
                <c:pt idx="55">
                  <c:v>2004.2083333333292</c:v>
                </c:pt>
                <c:pt idx="56">
                  <c:v>2004.2916666666624</c:v>
                </c:pt>
                <c:pt idx="57">
                  <c:v>2004.3749999999957</c:v>
                </c:pt>
                <c:pt idx="58">
                  <c:v>2004.4583333333289</c:v>
                </c:pt>
                <c:pt idx="59">
                  <c:v>2004.5416666666622</c:v>
                </c:pt>
                <c:pt idx="60">
                  <c:v>2004.6249999999955</c:v>
                </c:pt>
                <c:pt idx="61">
                  <c:v>2004.7083333333287</c:v>
                </c:pt>
                <c:pt idx="62">
                  <c:v>2004.791666666662</c:v>
                </c:pt>
                <c:pt idx="63">
                  <c:v>2004.8749999999952</c:v>
                </c:pt>
                <c:pt idx="64">
                  <c:v>2004.9583333333285</c:v>
                </c:pt>
                <c:pt idx="65">
                  <c:v>2005.0416666666617</c:v>
                </c:pt>
                <c:pt idx="66">
                  <c:v>2005.124999999995</c:v>
                </c:pt>
                <c:pt idx="67">
                  <c:v>2005.2083333333283</c:v>
                </c:pt>
                <c:pt idx="68">
                  <c:v>2005.2916666666615</c:v>
                </c:pt>
                <c:pt idx="69">
                  <c:v>2005.3749999999948</c:v>
                </c:pt>
                <c:pt idx="70">
                  <c:v>2005.458333333328</c:v>
                </c:pt>
                <c:pt idx="71">
                  <c:v>2005.5416666666613</c:v>
                </c:pt>
                <c:pt idx="72">
                  <c:v>2005.6249999999945</c:v>
                </c:pt>
                <c:pt idx="73">
                  <c:v>2005.7083333333278</c:v>
                </c:pt>
                <c:pt idx="74">
                  <c:v>2005.7916666666611</c:v>
                </c:pt>
                <c:pt idx="75">
                  <c:v>2005.8749999999943</c:v>
                </c:pt>
                <c:pt idx="76">
                  <c:v>2005.9583333333276</c:v>
                </c:pt>
                <c:pt idx="77">
                  <c:v>2006.0416666666608</c:v>
                </c:pt>
                <c:pt idx="78">
                  <c:v>2006.1249999999941</c:v>
                </c:pt>
                <c:pt idx="79">
                  <c:v>2006.2083333333273</c:v>
                </c:pt>
                <c:pt idx="80">
                  <c:v>2006.2916666666606</c:v>
                </c:pt>
                <c:pt idx="81">
                  <c:v>2006.3749999999939</c:v>
                </c:pt>
                <c:pt idx="82">
                  <c:v>2006.4583333333271</c:v>
                </c:pt>
                <c:pt idx="83">
                  <c:v>2006.5416666666604</c:v>
                </c:pt>
                <c:pt idx="84">
                  <c:v>2006.6249999999936</c:v>
                </c:pt>
                <c:pt idx="85">
                  <c:v>2006.7083333333269</c:v>
                </c:pt>
                <c:pt idx="86">
                  <c:v>2006.7916666666601</c:v>
                </c:pt>
                <c:pt idx="87">
                  <c:v>2006.8749999999934</c:v>
                </c:pt>
                <c:pt idx="88">
                  <c:v>2006.9583333333267</c:v>
                </c:pt>
                <c:pt idx="89">
                  <c:v>2007.0416666666599</c:v>
                </c:pt>
                <c:pt idx="90">
                  <c:v>2007.1249999999932</c:v>
                </c:pt>
                <c:pt idx="91">
                  <c:v>2007.2083333333264</c:v>
                </c:pt>
                <c:pt idx="92">
                  <c:v>2007.2916666666597</c:v>
                </c:pt>
                <c:pt idx="93">
                  <c:v>2007.374999999993</c:v>
                </c:pt>
                <c:pt idx="94">
                  <c:v>2007.4583333333262</c:v>
                </c:pt>
                <c:pt idx="95">
                  <c:v>2007.5416666666595</c:v>
                </c:pt>
                <c:pt idx="96">
                  <c:v>2007.6249999999927</c:v>
                </c:pt>
                <c:pt idx="97">
                  <c:v>2007.708333333326</c:v>
                </c:pt>
                <c:pt idx="98">
                  <c:v>2007.7916666666592</c:v>
                </c:pt>
                <c:pt idx="99">
                  <c:v>2007.8749999999925</c:v>
                </c:pt>
                <c:pt idx="100">
                  <c:v>2007.9583333333258</c:v>
                </c:pt>
                <c:pt idx="101">
                  <c:v>2008.041666666659</c:v>
                </c:pt>
                <c:pt idx="102">
                  <c:v>2008.1249999999923</c:v>
                </c:pt>
                <c:pt idx="103">
                  <c:v>2008.2083333333255</c:v>
                </c:pt>
                <c:pt idx="104">
                  <c:v>2008.2916666666588</c:v>
                </c:pt>
                <c:pt idx="105">
                  <c:v>2008.374999999992</c:v>
                </c:pt>
                <c:pt idx="106">
                  <c:v>2008.4583333333253</c:v>
                </c:pt>
                <c:pt idx="107">
                  <c:v>2008.5416666666586</c:v>
                </c:pt>
                <c:pt idx="108">
                  <c:v>2008.6249999999918</c:v>
                </c:pt>
                <c:pt idx="109">
                  <c:v>2008.7083333333251</c:v>
                </c:pt>
                <c:pt idx="110">
                  <c:v>2008.7916666666583</c:v>
                </c:pt>
                <c:pt idx="111">
                  <c:v>2008.8749999999916</c:v>
                </c:pt>
                <c:pt idx="112">
                  <c:v>2008.9583333333248</c:v>
                </c:pt>
                <c:pt idx="113">
                  <c:v>2009.0416666666581</c:v>
                </c:pt>
                <c:pt idx="114">
                  <c:v>2009.1249999999914</c:v>
                </c:pt>
                <c:pt idx="115">
                  <c:v>2009.2083333333246</c:v>
                </c:pt>
                <c:pt idx="116">
                  <c:v>2009.2916666666579</c:v>
                </c:pt>
                <c:pt idx="117">
                  <c:v>2009.3749999999911</c:v>
                </c:pt>
                <c:pt idx="118">
                  <c:v>2009.4583333333244</c:v>
                </c:pt>
                <c:pt idx="119">
                  <c:v>2009.5416666666576</c:v>
                </c:pt>
                <c:pt idx="120">
                  <c:v>2009.6249999999909</c:v>
                </c:pt>
                <c:pt idx="121">
                  <c:v>2009.7083333333242</c:v>
                </c:pt>
                <c:pt idx="122">
                  <c:v>2009.7916666666574</c:v>
                </c:pt>
                <c:pt idx="123">
                  <c:v>2009.8749999999907</c:v>
                </c:pt>
                <c:pt idx="124">
                  <c:v>2009.9583333333239</c:v>
                </c:pt>
                <c:pt idx="125">
                  <c:v>2010.0416666666572</c:v>
                </c:pt>
                <c:pt idx="126">
                  <c:v>2010.1249999999905</c:v>
                </c:pt>
                <c:pt idx="127">
                  <c:v>2010.2083333333237</c:v>
                </c:pt>
                <c:pt idx="128">
                  <c:v>2010.291666666657</c:v>
                </c:pt>
                <c:pt idx="129">
                  <c:v>2010.3749999999902</c:v>
                </c:pt>
                <c:pt idx="130">
                  <c:v>2010.4583333333235</c:v>
                </c:pt>
                <c:pt idx="131">
                  <c:v>2010.5416666666567</c:v>
                </c:pt>
                <c:pt idx="132">
                  <c:v>2010.62499999999</c:v>
                </c:pt>
                <c:pt idx="133">
                  <c:v>2010.7083333333233</c:v>
                </c:pt>
                <c:pt idx="134">
                  <c:v>2010.7916666666565</c:v>
                </c:pt>
                <c:pt idx="135">
                  <c:v>2010.8749999999898</c:v>
                </c:pt>
                <c:pt idx="136">
                  <c:v>2010.958333333323</c:v>
                </c:pt>
                <c:pt idx="137">
                  <c:v>2011.0416666666563</c:v>
                </c:pt>
                <c:pt idx="138">
                  <c:v>2011.1249999999895</c:v>
                </c:pt>
                <c:pt idx="139">
                  <c:v>2011.2083333333228</c:v>
                </c:pt>
                <c:pt idx="140">
                  <c:v>2011.2916666666561</c:v>
                </c:pt>
                <c:pt idx="141">
                  <c:v>2011.3749999999893</c:v>
                </c:pt>
                <c:pt idx="142">
                  <c:v>2011.4583333333226</c:v>
                </c:pt>
                <c:pt idx="143">
                  <c:v>2011.5416666666558</c:v>
                </c:pt>
                <c:pt idx="144">
                  <c:v>2011.6249999999891</c:v>
                </c:pt>
                <c:pt idx="145">
                  <c:v>2011.7083333333223</c:v>
                </c:pt>
                <c:pt idx="146">
                  <c:v>2011.7916666666556</c:v>
                </c:pt>
                <c:pt idx="147">
                  <c:v>2011.8749999999889</c:v>
                </c:pt>
                <c:pt idx="148">
                  <c:v>2011.9583333333221</c:v>
                </c:pt>
                <c:pt idx="149">
                  <c:v>2012.0416666666554</c:v>
                </c:pt>
                <c:pt idx="150">
                  <c:v>2012.1249999999886</c:v>
                </c:pt>
                <c:pt idx="151">
                  <c:v>2012.2083333333219</c:v>
                </c:pt>
                <c:pt idx="152">
                  <c:v>2012.2916666666551</c:v>
                </c:pt>
                <c:pt idx="153">
                  <c:v>2012.3749999999884</c:v>
                </c:pt>
                <c:pt idx="154">
                  <c:v>2012.4583333333217</c:v>
                </c:pt>
                <c:pt idx="155">
                  <c:v>2012.5416666666549</c:v>
                </c:pt>
                <c:pt idx="156">
                  <c:v>2012.6249999999882</c:v>
                </c:pt>
                <c:pt idx="157">
                  <c:v>2012.7083333333214</c:v>
                </c:pt>
                <c:pt idx="158">
                  <c:v>2012.7916666666547</c:v>
                </c:pt>
                <c:pt idx="159">
                  <c:v>2012.8749999999879</c:v>
                </c:pt>
                <c:pt idx="160">
                  <c:v>2012.9583333333212</c:v>
                </c:pt>
                <c:pt idx="161">
                  <c:v>2013.0416666666545</c:v>
                </c:pt>
                <c:pt idx="162">
                  <c:v>2013.1249999999877</c:v>
                </c:pt>
                <c:pt idx="163">
                  <c:v>2013.208333333321</c:v>
                </c:pt>
                <c:pt idx="164">
                  <c:v>2013.2916666666542</c:v>
                </c:pt>
                <c:pt idx="165">
                  <c:v>2013.3749999999875</c:v>
                </c:pt>
                <c:pt idx="166">
                  <c:v>2013.4583333333208</c:v>
                </c:pt>
                <c:pt idx="167">
                  <c:v>2013.541666666654</c:v>
                </c:pt>
                <c:pt idx="168">
                  <c:v>2013.6249999999873</c:v>
                </c:pt>
                <c:pt idx="169">
                  <c:v>2013.7083333333205</c:v>
                </c:pt>
                <c:pt idx="170">
                  <c:v>2013.7916666666538</c:v>
                </c:pt>
                <c:pt idx="171">
                  <c:v>2013.874999999987</c:v>
                </c:pt>
                <c:pt idx="172">
                  <c:v>2013.9583333333203</c:v>
                </c:pt>
                <c:pt idx="173">
                  <c:v>2014.0416666666536</c:v>
                </c:pt>
                <c:pt idx="174">
                  <c:v>2014.1249999999868</c:v>
                </c:pt>
                <c:pt idx="175">
                  <c:v>2014.2083333333201</c:v>
                </c:pt>
                <c:pt idx="176">
                  <c:v>2014.2916666666533</c:v>
                </c:pt>
                <c:pt idx="177">
                  <c:v>2014.3749999999866</c:v>
                </c:pt>
                <c:pt idx="178">
                  <c:v>2014.4583333333198</c:v>
                </c:pt>
                <c:pt idx="179">
                  <c:v>2014.5416666666531</c:v>
                </c:pt>
                <c:pt idx="180">
                  <c:v>2014.6249999999864</c:v>
                </c:pt>
                <c:pt idx="181">
                  <c:v>2014.7083333333196</c:v>
                </c:pt>
                <c:pt idx="182">
                  <c:v>2014.7916666666529</c:v>
                </c:pt>
                <c:pt idx="183">
                  <c:v>2014.8749999999861</c:v>
                </c:pt>
                <c:pt idx="184">
                  <c:v>2014.9583333333194</c:v>
                </c:pt>
                <c:pt idx="185">
                  <c:v>2015.0416666666526</c:v>
                </c:pt>
                <c:pt idx="186">
                  <c:v>2015.1249999999859</c:v>
                </c:pt>
                <c:pt idx="187">
                  <c:v>2015.2083333333192</c:v>
                </c:pt>
                <c:pt idx="188">
                  <c:v>2015.2916666666524</c:v>
                </c:pt>
                <c:pt idx="189">
                  <c:v>2015.3749999999857</c:v>
                </c:pt>
                <c:pt idx="190">
                  <c:v>2015.4583333333189</c:v>
                </c:pt>
                <c:pt idx="191">
                  <c:v>2015.5416666666522</c:v>
                </c:pt>
                <c:pt idx="192">
                  <c:v>2015.6249999999854</c:v>
                </c:pt>
                <c:pt idx="193">
                  <c:v>2015.7083333333187</c:v>
                </c:pt>
                <c:pt idx="194">
                  <c:v>2015.791666666652</c:v>
                </c:pt>
                <c:pt idx="195">
                  <c:v>2015.8749999999852</c:v>
                </c:pt>
                <c:pt idx="196">
                  <c:v>2015.9583333333185</c:v>
                </c:pt>
                <c:pt idx="197">
                  <c:v>2016.0416666666517</c:v>
                </c:pt>
                <c:pt idx="198">
                  <c:v>2016.124999999985</c:v>
                </c:pt>
                <c:pt idx="199">
                  <c:v>2016.2083333333183</c:v>
                </c:pt>
                <c:pt idx="200">
                  <c:v>2016.2916666666515</c:v>
                </c:pt>
                <c:pt idx="201">
                  <c:v>2016.3749999999848</c:v>
                </c:pt>
                <c:pt idx="202">
                  <c:v>2016.458333333318</c:v>
                </c:pt>
                <c:pt idx="203">
                  <c:v>2016.5416666666513</c:v>
                </c:pt>
                <c:pt idx="204">
                  <c:v>2016.6249999999845</c:v>
                </c:pt>
                <c:pt idx="205">
                  <c:v>2016.7083333333178</c:v>
                </c:pt>
                <c:pt idx="206">
                  <c:v>2016.7916666666511</c:v>
                </c:pt>
                <c:pt idx="207">
                  <c:v>2016.8749999999843</c:v>
                </c:pt>
                <c:pt idx="208">
                  <c:v>2016.9583333333176</c:v>
                </c:pt>
                <c:pt idx="209">
                  <c:v>2017.0416666666508</c:v>
                </c:pt>
                <c:pt idx="210">
                  <c:v>2017.1249999999841</c:v>
                </c:pt>
                <c:pt idx="211">
                  <c:v>2017.2083333333173</c:v>
                </c:pt>
                <c:pt idx="212">
                  <c:v>2017.2916666666506</c:v>
                </c:pt>
                <c:pt idx="213">
                  <c:v>2017.3749999999839</c:v>
                </c:pt>
                <c:pt idx="214">
                  <c:v>2017.4583333333171</c:v>
                </c:pt>
                <c:pt idx="215">
                  <c:v>2017.5416666666504</c:v>
                </c:pt>
              </c:numCache>
            </c:numRef>
          </c:xVal>
          <c:yVal>
            <c:numRef>
              <c:f>'charts for prospectus'!$T$3:$T$218</c:f>
              <c:numCache>
                <c:formatCode>General</c:formatCode>
                <c:ptCount val="216"/>
                <c:pt idx="0">
                  <c:v>100</c:v>
                </c:pt>
                <c:pt idx="1">
                  <c:v>99.044195087952673</c:v>
                </c:pt>
                <c:pt idx="2">
                  <c:v>100.48405611980485</c:v>
                </c:pt>
                <c:pt idx="3">
                  <c:v>100.51501292021801</c:v>
                </c:pt>
                <c:pt idx="4">
                  <c:v>101.55336957888692</c:v>
                </c:pt>
                <c:pt idx="5">
                  <c:v>103.40045692839659</c:v>
                </c:pt>
                <c:pt idx="6">
                  <c:v>103.2173978232635</c:v>
                </c:pt>
                <c:pt idx="7">
                  <c:v>102.57327641841384</c:v>
                </c:pt>
                <c:pt idx="8">
                  <c:v>104.58617082229593</c:v>
                </c:pt>
                <c:pt idx="9">
                  <c:v>105.71963438549048</c:v>
                </c:pt>
                <c:pt idx="10">
                  <c:v>107.26079728799341</c:v>
                </c:pt>
                <c:pt idx="11">
                  <c:v>106.55295743306159</c:v>
                </c:pt>
                <c:pt idx="12">
                  <c:v>110.19282339977872</c:v>
                </c:pt>
                <c:pt idx="13">
                  <c:v>111.50038504806354</c:v>
                </c:pt>
                <c:pt idx="14">
                  <c:v>109.05579635695489</c:v>
                </c:pt>
                <c:pt idx="15">
                  <c:v>108.49887732700732</c:v>
                </c:pt>
                <c:pt idx="16">
                  <c:v>106.43660879973115</c:v>
                </c:pt>
                <c:pt idx="17">
                  <c:v>106.38102120304956</c:v>
                </c:pt>
                <c:pt idx="18">
                  <c:v>111.92748818401549</c:v>
                </c:pt>
                <c:pt idx="19">
                  <c:v>111.59111359228146</c:v>
                </c:pt>
                <c:pt idx="20">
                  <c:v>116.02727573480021</c:v>
                </c:pt>
                <c:pt idx="21">
                  <c:v>115.56631045108934</c:v>
                </c:pt>
                <c:pt idx="22">
                  <c:v>118.79780405752805</c:v>
                </c:pt>
                <c:pt idx="23">
                  <c:v>117.22239611236608</c:v>
                </c:pt>
                <c:pt idx="24">
                  <c:v>117.13001269293297</c:v>
                </c:pt>
                <c:pt idx="25">
                  <c:v>122.30968637281761</c:v>
                </c:pt>
                <c:pt idx="26">
                  <c:v>122.30958432353631</c:v>
                </c:pt>
                <c:pt idx="27">
                  <c:v>122.91280843741708</c:v>
                </c:pt>
                <c:pt idx="28">
                  <c:v>126.48224713450119</c:v>
                </c:pt>
                <c:pt idx="29">
                  <c:v>126.63311421303942</c:v>
                </c:pt>
                <c:pt idx="30">
                  <c:v>127.52753054284732</c:v>
                </c:pt>
                <c:pt idx="31">
                  <c:v>130.04749482191508</c:v>
                </c:pt>
                <c:pt idx="32">
                  <c:v>129.89231650833997</c:v>
                </c:pt>
                <c:pt idx="33">
                  <c:v>131.27849423560488</c:v>
                </c:pt>
                <c:pt idx="34">
                  <c:v>130.13511165554095</c:v>
                </c:pt>
                <c:pt idx="35">
                  <c:v>129.39740672933186</c:v>
                </c:pt>
                <c:pt idx="36">
                  <c:v>125.01160767118243</c:v>
                </c:pt>
                <c:pt idx="37">
                  <c:v>123.95148759558143</c:v>
                </c:pt>
                <c:pt idx="38">
                  <c:v>127.28643531997858</c:v>
                </c:pt>
                <c:pt idx="39">
                  <c:v>127.07075654112292</c:v>
                </c:pt>
                <c:pt idx="40">
                  <c:v>129.91800265659819</c:v>
                </c:pt>
                <c:pt idx="41">
                  <c:v>128.98155224431653</c:v>
                </c:pt>
                <c:pt idx="42">
                  <c:v>134.50466584874235</c:v>
                </c:pt>
                <c:pt idx="43">
                  <c:v>137.00837821035589</c:v>
                </c:pt>
                <c:pt idx="44">
                  <c:v>140.09626563877745</c:v>
                </c:pt>
                <c:pt idx="45">
                  <c:v>148.17924845138248</c:v>
                </c:pt>
                <c:pt idx="46">
                  <c:v>153.97852370374162</c:v>
                </c:pt>
                <c:pt idx="47">
                  <c:v>162.25743933821246</c:v>
                </c:pt>
                <c:pt idx="48">
                  <c:v>161.33080045804263</c:v>
                </c:pt>
                <c:pt idx="49">
                  <c:v>165.78839557774955</c:v>
                </c:pt>
                <c:pt idx="50">
                  <c:v>162.57774953444616</c:v>
                </c:pt>
                <c:pt idx="51">
                  <c:v>165.86092691416542</c:v>
                </c:pt>
                <c:pt idx="52">
                  <c:v>171.49133182743938</c:v>
                </c:pt>
                <c:pt idx="53">
                  <c:v>173.78578001450074</c:v>
                </c:pt>
                <c:pt idx="54">
                  <c:v>172.44865482532001</c:v>
                </c:pt>
                <c:pt idx="55">
                  <c:v>176.66678579127634</c:v>
                </c:pt>
                <c:pt idx="56">
                  <c:v>183.18879532033054</c:v>
                </c:pt>
                <c:pt idx="57">
                  <c:v>182.47449805242758</c:v>
                </c:pt>
                <c:pt idx="58">
                  <c:v>194.85890700798123</c:v>
                </c:pt>
                <c:pt idx="59">
                  <c:v>197.12066666289985</c:v>
                </c:pt>
                <c:pt idx="60">
                  <c:v>198.0428458732091</c:v>
                </c:pt>
                <c:pt idx="61">
                  <c:v>206.2276720923075</c:v>
                </c:pt>
                <c:pt idx="62">
                  <c:v>211.91337890642907</c:v>
                </c:pt>
                <c:pt idx="63">
                  <c:v>217.58485664107329</c:v>
                </c:pt>
                <c:pt idx="64">
                  <c:v>215.93087187318321</c:v>
                </c:pt>
                <c:pt idx="65">
                  <c:v>224.10233478764056</c:v>
                </c:pt>
                <c:pt idx="66">
                  <c:v>230.03960705094218</c:v>
                </c:pt>
                <c:pt idx="67">
                  <c:v>227.25288813991702</c:v>
                </c:pt>
                <c:pt idx="68">
                  <c:v>231.82362324201671</c:v>
                </c:pt>
                <c:pt idx="69">
                  <c:v>242.55371355382013</c:v>
                </c:pt>
                <c:pt idx="70">
                  <c:v>239.2543594267847</c:v>
                </c:pt>
                <c:pt idx="71">
                  <c:v>243.10983131322379</c:v>
                </c:pt>
                <c:pt idx="72">
                  <c:v>252.55609742551312</c:v>
                </c:pt>
                <c:pt idx="73">
                  <c:v>260.58536229803173</c:v>
                </c:pt>
                <c:pt idx="74">
                  <c:v>264.15250702515795</c:v>
                </c:pt>
                <c:pt idx="75">
                  <c:v>282.23558482386773</c:v>
                </c:pt>
                <c:pt idx="76">
                  <c:v>281.90516569613993</c:v>
                </c:pt>
                <c:pt idx="77">
                  <c:v>285.61232608704699</c:v>
                </c:pt>
                <c:pt idx="78">
                  <c:v>285.19526937283382</c:v>
                </c:pt>
                <c:pt idx="79">
                  <c:v>287.54718550173976</c:v>
                </c:pt>
                <c:pt idx="80">
                  <c:v>289.80643244467871</c:v>
                </c:pt>
                <c:pt idx="81">
                  <c:v>286.1173011456807</c:v>
                </c:pt>
                <c:pt idx="82">
                  <c:v>288.12542634413307</c:v>
                </c:pt>
                <c:pt idx="83">
                  <c:v>293.20530160365195</c:v>
                </c:pt>
                <c:pt idx="84">
                  <c:v>292.37813916822108</c:v>
                </c:pt>
                <c:pt idx="85">
                  <c:v>312.68048794221158</c:v>
                </c:pt>
                <c:pt idx="86">
                  <c:v>311.49867047026703</c:v>
                </c:pt>
                <c:pt idx="87">
                  <c:v>326.21303444181518</c:v>
                </c:pt>
                <c:pt idx="88">
                  <c:v>334.62039936398486</c:v>
                </c:pt>
                <c:pt idx="89">
                  <c:v>330.98431143613698</c:v>
                </c:pt>
                <c:pt idx="90">
                  <c:v>329.6049248549798</c:v>
                </c:pt>
                <c:pt idx="91">
                  <c:v>349.00939038341522</c:v>
                </c:pt>
                <c:pt idx="92">
                  <c:v>349.66142326513079</c:v>
                </c:pt>
                <c:pt idx="93">
                  <c:v>358.66917841555181</c:v>
                </c:pt>
                <c:pt idx="94">
                  <c:v>366.94458705884142</c:v>
                </c:pt>
                <c:pt idx="95">
                  <c:v>370.73984862458366</c:v>
                </c:pt>
                <c:pt idx="96">
                  <c:v>374.96467823485619</c:v>
                </c:pt>
                <c:pt idx="97">
                  <c:v>384.6663137562997</c:v>
                </c:pt>
                <c:pt idx="98">
                  <c:v>385.97449860672214</c:v>
                </c:pt>
                <c:pt idx="99">
                  <c:v>405.81902200880091</c:v>
                </c:pt>
                <c:pt idx="100">
                  <c:v>411.13035187804934</c:v>
                </c:pt>
                <c:pt idx="101">
                  <c:v>417.77289630919745</c:v>
                </c:pt>
                <c:pt idx="102">
                  <c:v>412.35537751365865</c:v>
                </c:pt>
                <c:pt idx="103">
                  <c:v>416.82425671717812</c:v>
                </c:pt>
                <c:pt idx="104">
                  <c:v>431.50466832100301</c:v>
                </c:pt>
                <c:pt idx="105">
                  <c:v>430.63940820765345</c:v>
                </c:pt>
                <c:pt idx="106">
                  <c:v>430.92117527378923</c:v>
                </c:pt>
                <c:pt idx="107">
                  <c:v>429.9593811078139</c:v>
                </c:pt>
                <c:pt idx="108">
                  <c:v>429.91258552812945</c:v>
                </c:pt>
                <c:pt idx="109">
                  <c:v>439.2291690017878</c:v>
                </c:pt>
                <c:pt idx="110">
                  <c:v>441.45223575414195</c:v>
                </c:pt>
                <c:pt idx="111">
                  <c:v>449.550783685081</c:v>
                </c:pt>
                <c:pt idx="112">
                  <c:v>449.93040415853579</c:v>
                </c:pt>
                <c:pt idx="113">
                  <c:v>446.65435347178516</c:v>
                </c:pt>
                <c:pt idx="114">
                  <c:v>480.32554892647045</c:v>
                </c:pt>
                <c:pt idx="115">
                  <c:v>486.61122719217076</c:v>
                </c:pt>
                <c:pt idx="116">
                  <c:v>496.21713471994116</c:v>
                </c:pt>
                <c:pt idx="117">
                  <c:v>498.44535038440648</c:v>
                </c:pt>
                <c:pt idx="118">
                  <c:v>499.98095073316864</c:v>
                </c:pt>
                <c:pt idx="119">
                  <c:v>503.25022961289147</c:v>
                </c:pt>
                <c:pt idx="120">
                  <c:v>529.05852852090584</c:v>
                </c:pt>
                <c:pt idx="121">
                  <c:v>540.67867296974111</c:v>
                </c:pt>
                <c:pt idx="122">
                  <c:v>555.35065770274571</c:v>
                </c:pt>
                <c:pt idx="123">
                  <c:v>555.30788222274782</c:v>
                </c:pt>
                <c:pt idx="124">
                  <c:v>566.32387324463275</c:v>
                </c:pt>
                <c:pt idx="125">
                  <c:v>566.09269498771096</c:v>
                </c:pt>
                <c:pt idx="126">
                  <c:v>564.72345221772332</c:v>
                </c:pt>
                <c:pt idx="127">
                  <c:v>565.83947433368417</c:v>
                </c:pt>
                <c:pt idx="128">
                  <c:v>616.42915393835187</c:v>
                </c:pt>
                <c:pt idx="129">
                  <c:v>621.06566185372105</c:v>
                </c:pt>
                <c:pt idx="130">
                  <c:v>644.23984654725984</c:v>
                </c:pt>
                <c:pt idx="131">
                  <c:v>680.36829595625159</c:v>
                </c:pt>
                <c:pt idx="132">
                  <c:v>726.7066367219835</c:v>
                </c:pt>
                <c:pt idx="133">
                  <c:v>719.22211148075087</c:v>
                </c:pt>
                <c:pt idx="134">
                  <c:v>724.06311204192116</c:v>
                </c:pt>
                <c:pt idx="135">
                  <c:v>733.51461851022282</c:v>
                </c:pt>
                <c:pt idx="136">
                  <c:v>745.01508330825675</c:v>
                </c:pt>
                <c:pt idx="137">
                  <c:v>761.92509645279461</c:v>
                </c:pt>
                <c:pt idx="138">
                  <c:v>774.51028977316787</c:v>
                </c:pt>
                <c:pt idx="139">
                  <c:v>778.64692712130568</c:v>
                </c:pt>
                <c:pt idx="140">
                  <c:v>772.21949021977537</c:v>
                </c:pt>
                <c:pt idx="141">
                  <c:v>769.24200323853029</c:v>
                </c:pt>
                <c:pt idx="142">
                  <c:v>768.97566497022808</c:v>
                </c:pt>
                <c:pt idx="143">
                  <c:v>769.34209881178049</c:v>
                </c:pt>
                <c:pt idx="144">
                  <c:v>800.52693082310725</c:v>
                </c:pt>
                <c:pt idx="145">
                  <c:v>791.410460143911</c:v>
                </c:pt>
                <c:pt idx="146">
                  <c:v>816.36213862495913</c:v>
                </c:pt>
                <c:pt idx="147">
                  <c:v>843.4657434881243</c:v>
                </c:pt>
                <c:pt idx="148">
                  <c:v>822.23407050366234</c:v>
                </c:pt>
                <c:pt idx="149">
                  <c:v>844.52800327957129</c:v>
                </c:pt>
                <c:pt idx="150">
                  <c:v>851.50026676951995</c:v>
                </c:pt>
                <c:pt idx="151">
                  <c:v>874.33338130029176</c:v>
                </c:pt>
                <c:pt idx="152">
                  <c:v>861.17443935263782</c:v>
                </c:pt>
                <c:pt idx="153">
                  <c:v>885.94974787599858</c:v>
                </c:pt>
                <c:pt idx="154">
                  <c:v>921.00265269554473</c:v>
                </c:pt>
                <c:pt idx="155">
                  <c:v>957.51006977115844</c:v>
                </c:pt>
                <c:pt idx="156">
                  <c:v>967.97935607744716</c:v>
                </c:pt>
                <c:pt idx="157">
                  <c:v>981.84774266796899</c:v>
                </c:pt>
                <c:pt idx="158">
                  <c:v>999.46387373333539</c:v>
                </c:pt>
                <c:pt idx="159">
                  <c:v>1007.5619621451533</c:v>
                </c:pt>
                <c:pt idx="160">
                  <c:v>1022.1204648449254</c:v>
                </c:pt>
                <c:pt idx="161">
                  <c:v>1063.4508886732483</c:v>
                </c:pt>
                <c:pt idx="162">
                  <c:v>1064.4141905300251</c:v>
                </c:pt>
                <c:pt idx="163">
                  <c:v>1055.5209797546729</c:v>
                </c:pt>
                <c:pt idx="164">
                  <c:v>1090.8827381298956</c:v>
                </c:pt>
                <c:pt idx="165">
                  <c:v>1099.4876502952811</c:v>
                </c:pt>
                <c:pt idx="166">
                  <c:v>1103.0621939171378</c:v>
                </c:pt>
                <c:pt idx="167">
                  <c:v>1136.7564063937443</c:v>
                </c:pt>
                <c:pt idx="168">
                  <c:v>1161.8642555226327</c:v>
                </c:pt>
                <c:pt idx="169">
                  <c:v>1158.301316530569</c:v>
                </c:pt>
                <c:pt idx="170">
                  <c:v>1164.809910293897</c:v>
                </c:pt>
                <c:pt idx="171">
                  <c:v>1213.6358362361761</c:v>
                </c:pt>
                <c:pt idx="172">
                  <c:v>1208.2036397271975</c:v>
                </c:pt>
                <c:pt idx="173">
                  <c:v>1268.7414437014918</c:v>
                </c:pt>
                <c:pt idx="174">
                  <c:v>1303.1254528583224</c:v>
                </c:pt>
                <c:pt idx="175">
                  <c:v>1289.6853916915181</c:v>
                </c:pt>
                <c:pt idx="176">
                  <c:v>1287.4880976171273</c:v>
                </c:pt>
                <c:pt idx="177">
                  <c:v>1313.0349531347274</c:v>
                </c:pt>
                <c:pt idx="178">
                  <c:v>1351.6200436235274</c:v>
                </c:pt>
                <c:pt idx="179">
                  <c:v>1353.9837303301249</c:v>
                </c:pt>
                <c:pt idx="180">
                  <c:v>1345.8814804054825</c:v>
                </c:pt>
                <c:pt idx="181">
                  <c:v>1396.3685589357424</c:v>
                </c:pt>
                <c:pt idx="182">
                  <c:v>1386.0111101509278</c:v>
                </c:pt>
                <c:pt idx="183">
                  <c:v>1440.3423497199055</c:v>
                </c:pt>
                <c:pt idx="184">
                  <c:v>1458.031436888414</c:v>
                </c:pt>
                <c:pt idx="185">
                  <c:v>1449.4441826489199</c:v>
                </c:pt>
                <c:pt idx="186">
                  <c:v>1461.9943096929733</c:v>
                </c:pt>
                <c:pt idx="187">
                  <c:v>1451.8730334550432</c:v>
                </c:pt>
                <c:pt idx="188">
                  <c:v>1463.1300225043026</c:v>
                </c:pt>
                <c:pt idx="189">
                  <c:v>1459.6409774833619</c:v>
                </c:pt>
                <c:pt idx="190">
                  <c:v>1468.364685576913</c:v>
                </c:pt>
                <c:pt idx="191">
                  <c:v>1474.7777657554927</c:v>
                </c:pt>
                <c:pt idx="192">
                  <c:v>1481.1493408925999</c:v>
                </c:pt>
                <c:pt idx="193">
                  <c:v>1497.8347278635708</c:v>
                </c:pt>
                <c:pt idx="194">
                  <c:v>1549.0719743119912</c:v>
                </c:pt>
                <c:pt idx="195">
                  <c:v>1570.8330000293697</c:v>
                </c:pt>
                <c:pt idx="196">
                  <c:v>1598.520375837634</c:v>
                </c:pt>
                <c:pt idx="197">
                  <c:v>1629.6924870203663</c:v>
                </c:pt>
                <c:pt idx="198">
                  <c:v>1694.3645875952479</c:v>
                </c:pt>
                <c:pt idx="199">
                  <c:v>1667.9847528954642</c:v>
                </c:pt>
                <c:pt idx="200">
                  <c:v>1660.1946576961684</c:v>
                </c:pt>
                <c:pt idx="201">
                  <c:v>1650.0433758519425</c:v>
                </c:pt>
                <c:pt idx="202">
                  <c:v>1683.3067737045872</c:v>
                </c:pt>
                <c:pt idx="203">
                  <c:v>1699.7962643477199</c:v>
                </c:pt>
                <c:pt idx="204">
                  <c:v>1724.2700694465766</c:v>
                </c:pt>
                <c:pt idx="205">
                  <c:v>1750.8440345001059</c:v>
                </c:pt>
                <c:pt idx="206">
                  <c:v>1820.2013096100231</c:v>
                </c:pt>
                <c:pt idx="207">
                  <c:v>1813.967413380863</c:v>
                </c:pt>
                <c:pt idx="208">
                  <c:v>1798.3941076788271</c:v>
                </c:pt>
                <c:pt idx="209">
                  <c:v>1816.6234601960282</c:v>
                </c:pt>
                <c:pt idx="210">
                  <c:v>1896.5866935354711</c:v>
                </c:pt>
                <c:pt idx="211">
                  <c:v>1929.4997567559014</c:v>
                </c:pt>
                <c:pt idx="212">
                  <c:v>1991.9780152059068</c:v>
                </c:pt>
                <c:pt idx="213">
                  <c:v>2041.1816244000047</c:v>
                </c:pt>
                <c:pt idx="214">
                  <c:v>2028.941277169984</c:v>
                </c:pt>
                <c:pt idx="215">
                  <c:v>2019.4399292855926</c:v>
                </c:pt>
              </c:numCache>
            </c:numRef>
          </c:yVal>
          <c:smooth val="0"/>
        </c:ser>
        <c:ser>
          <c:idx val="3"/>
          <c:order val="3"/>
          <c:tx>
            <c:strRef>
              <c:f>'charts for prospectus'!$U$2</c:f>
              <c:strCache>
                <c:ptCount val="1"/>
                <c:pt idx="0">
                  <c:v>T-bills</c:v>
                </c:pt>
              </c:strCache>
            </c:strRef>
          </c:tx>
          <c:spPr>
            <a:ln w="19050" cap="rnd">
              <a:solidFill>
                <a:schemeClr val="accent4"/>
              </a:solidFill>
              <a:round/>
            </a:ln>
            <a:effectLst/>
          </c:spPr>
          <c:marker>
            <c:symbol val="none"/>
          </c:marker>
          <c:xVal>
            <c:numRef>
              <c:f>'charts for prospectus'!$Q$3:$Q$218</c:f>
              <c:numCache>
                <c:formatCode>0</c:formatCode>
                <c:ptCount val="216"/>
                <c:pt idx="0">
                  <c:v>1999.625</c:v>
                </c:pt>
                <c:pt idx="1">
                  <c:v>1999.7083333333333</c:v>
                </c:pt>
                <c:pt idx="2">
                  <c:v>1999.7916666666665</c:v>
                </c:pt>
                <c:pt idx="3">
                  <c:v>1999.8749999999998</c:v>
                </c:pt>
                <c:pt idx="4">
                  <c:v>1999.958333333333</c:v>
                </c:pt>
                <c:pt idx="5">
                  <c:v>2000.0416666666663</c:v>
                </c:pt>
                <c:pt idx="6">
                  <c:v>2000.1249999999995</c:v>
                </c:pt>
                <c:pt idx="7">
                  <c:v>2000.2083333333328</c:v>
                </c:pt>
                <c:pt idx="8">
                  <c:v>2000.2916666666661</c:v>
                </c:pt>
                <c:pt idx="9">
                  <c:v>2000.3749999999993</c:v>
                </c:pt>
                <c:pt idx="10">
                  <c:v>2000.4583333333326</c:v>
                </c:pt>
                <c:pt idx="11">
                  <c:v>2000.5416666666658</c:v>
                </c:pt>
                <c:pt idx="12">
                  <c:v>2000.6249999999991</c:v>
                </c:pt>
                <c:pt idx="13">
                  <c:v>2000.7083333333323</c:v>
                </c:pt>
                <c:pt idx="14">
                  <c:v>2000.7916666666656</c:v>
                </c:pt>
                <c:pt idx="15">
                  <c:v>2000.8749999999989</c:v>
                </c:pt>
                <c:pt idx="16">
                  <c:v>2000.9583333333321</c:v>
                </c:pt>
                <c:pt idx="17">
                  <c:v>2001.0416666666654</c:v>
                </c:pt>
                <c:pt idx="18">
                  <c:v>2001.1249999999986</c:v>
                </c:pt>
                <c:pt idx="19">
                  <c:v>2001.2083333333319</c:v>
                </c:pt>
                <c:pt idx="20">
                  <c:v>2001.2916666666652</c:v>
                </c:pt>
                <c:pt idx="21">
                  <c:v>2001.3749999999984</c:v>
                </c:pt>
                <c:pt idx="22">
                  <c:v>2001.4583333333317</c:v>
                </c:pt>
                <c:pt idx="23">
                  <c:v>2001.5416666666649</c:v>
                </c:pt>
                <c:pt idx="24">
                  <c:v>2001.6249999999982</c:v>
                </c:pt>
                <c:pt idx="25">
                  <c:v>2001.7083333333314</c:v>
                </c:pt>
                <c:pt idx="26">
                  <c:v>2001.7916666666647</c:v>
                </c:pt>
                <c:pt idx="27">
                  <c:v>2001.874999999998</c:v>
                </c:pt>
                <c:pt idx="28">
                  <c:v>2001.9583333333312</c:v>
                </c:pt>
                <c:pt idx="29">
                  <c:v>2002.0416666666645</c:v>
                </c:pt>
                <c:pt idx="30">
                  <c:v>2002.1249999999977</c:v>
                </c:pt>
                <c:pt idx="31">
                  <c:v>2002.208333333331</c:v>
                </c:pt>
                <c:pt idx="32">
                  <c:v>2002.2916666666642</c:v>
                </c:pt>
                <c:pt idx="33">
                  <c:v>2002.3749999999975</c:v>
                </c:pt>
                <c:pt idx="34">
                  <c:v>2002.4583333333308</c:v>
                </c:pt>
                <c:pt idx="35">
                  <c:v>2002.541666666664</c:v>
                </c:pt>
                <c:pt idx="36">
                  <c:v>2002.6249999999973</c:v>
                </c:pt>
                <c:pt idx="37">
                  <c:v>2002.7083333333305</c:v>
                </c:pt>
                <c:pt idx="38">
                  <c:v>2002.7916666666638</c:v>
                </c:pt>
                <c:pt idx="39">
                  <c:v>2002.874999999997</c:v>
                </c:pt>
                <c:pt idx="40">
                  <c:v>2002.9583333333303</c:v>
                </c:pt>
                <c:pt idx="41">
                  <c:v>2003.0416666666636</c:v>
                </c:pt>
                <c:pt idx="42">
                  <c:v>2003.1249999999968</c:v>
                </c:pt>
                <c:pt idx="43">
                  <c:v>2003.2083333333301</c:v>
                </c:pt>
                <c:pt idx="44">
                  <c:v>2003.2916666666633</c:v>
                </c:pt>
                <c:pt idx="45">
                  <c:v>2003.3749999999966</c:v>
                </c:pt>
                <c:pt idx="46">
                  <c:v>2003.4583333333298</c:v>
                </c:pt>
                <c:pt idx="47">
                  <c:v>2003.5416666666631</c:v>
                </c:pt>
                <c:pt idx="48">
                  <c:v>2003.6249999999964</c:v>
                </c:pt>
                <c:pt idx="49">
                  <c:v>2003.7083333333296</c:v>
                </c:pt>
                <c:pt idx="50">
                  <c:v>2003.7916666666629</c:v>
                </c:pt>
                <c:pt idx="51">
                  <c:v>2003.8749999999961</c:v>
                </c:pt>
                <c:pt idx="52">
                  <c:v>2003.9583333333294</c:v>
                </c:pt>
                <c:pt idx="53">
                  <c:v>2004.0416666666626</c:v>
                </c:pt>
                <c:pt idx="54">
                  <c:v>2004.1249999999959</c:v>
                </c:pt>
                <c:pt idx="55">
                  <c:v>2004.2083333333292</c:v>
                </c:pt>
                <c:pt idx="56">
                  <c:v>2004.2916666666624</c:v>
                </c:pt>
                <c:pt idx="57">
                  <c:v>2004.3749999999957</c:v>
                </c:pt>
                <c:pt idx="58">
                  <c:v>2004.4583333333289</c:v>
                </c:pt>
                <c:pt idx="59">
                  <c:v>2004.5416666666622</c:v>
                </c:pt>
                <c:pt idx="60">
                  <c:v>2004.6249999999955</c:v>
                </c:pt>
                <c:pt idx="61">
                  <c:v>2004.7083333333287</c:v>
                </c:pt>
                <c:pt idx="62">
                  <c:v>2004.791666666662</c:v>
                </c:pt>
                <c:pt idx="63">
                  <c:v>2004.8749999999952</c:v>
                </c:pt>
                <c:pt idx="64">
                  <c:v>2004.9583333333285</c:v>
                </c:pt>
                <c:pt idx="65">
                  <c:v>2005.0416666666617</c:v>
                </c:pt>
                <c:pt idx="66">
                  <c:v>2005.124999999995</c:v>
                </c:pt>
                <c:pt idx="67">
                  <c:v>2005.2083333333283</c:v>
                </c:pt>
                <c:pt idx="68">
                  <c:v>2005.2916666666615</c:v>
                </c:pt>
                <c:pt idx="69">
                  <c:v>2005.3749999999948</c:v>
                </c:pt>
                <c:pt idx="70">
                  <c:v>2005.458333333328</c:v>
                </c:pt>
                <c:pt idx="71">
                  <c:v>2005.5416666666613</c:v>
                </c:pt>
                <c:pt idx="72">
                  <c:v>2005.6249999999945</c:v>
                </c:pt>
                <c:pt idx="73">
                  <c:v>2005.7083333333278</c:v>
                </c:pt>
                <c:pt idx="74">
                  <c:v>2005.7916666666611</c:v>
                </c:pt>
                <c:pt idx="75">
                  <c:v>2005.8749999999943</c:v>
                </c:pt>
                <c:pt idx="76">
                  <c:v>2005.9583333333276</c:v>
                </c:pt>
                <c:pt idx="77">
                  <c:v>2006.0416666666608</c:v>
                </c:pt>
                <c:pt idx="78">
                  <c:v>2006.1249999999941</c:v>
                </c:pt>
                <c:pt idx="79">
                  <c:v>2006.2083333333273</c:v>
                </c:pt>
                <c:pt idx="80">
                  <c:v>2006.2916666666606</c:v>
                </c:pt>
                <c:pt idx="81">
                  <c:v>2006.3749999999939</c:v>
                </c:pt>
                <c:pt idx="82">
                  <c:v>2006.4583333333271</c:v>
                </c:pt>
                <c:pt idx="83">
                  <c:v>2006.5416666666604</c:v>
                </c:pt>
                <c:pt idx="84">
                  <c:v>2006.6249999999936</c:v>
                </c:pt>
                <c:pt idx="85">
                  <c:v>2006.7083333333269</c:v>
                </c:pt>
                <c:pt idx="86">
                  <c:v>2006.7916666666601</c:v>
                </c:pt>
                <c:pt idx="87">
                  <c:v>2006.8749999999934</c:v>
                </c:pt>
                <c:pt idx="88">
                  <c:v>2006.9583333333267</c:v>
                </c:pt>
                <c:pt idx="89">
                  <c:v>2007.0416666666599</c:v>
                </c:pt>
                <c:pt idx="90">
                  <c:v>2007.1249999999932</c:v>
                </c:pt>
                <c:pt idx="91">
                  <c:v>2007.2083333333264</c:v>
                </c:pt>
                <c:pt idx="92">
                  <c:v>2007.2916666666597</c:v>
                </c:pt>
                <c:pt idx="93">
                  <c:v>2007.374999999993</c:v>
                </c:pt>
                <c:pt idx="94">
                  <c:v>2007.4583333333262</c:v>
                </c:pt>
                <c:pt idx="95">
                  <c:v>2007.5416666666595</c:v>
                </c:pt>
                <c:pt idx="96">
                  <c:v>2007.6249999999927</c:v>
                </c:pt>
                <c:pt idx="97">
                  <c:v>2007.708333333326</c:v>
                </c:pt>
                <c:pt idx="98">
                  <c:v>2007.7916666666592</c:v>
                </c:pt>
                <c:pt idx="99">
                  <c:v>2007.8749999999925</c:v>
                </c:pt>
                <c:pt idx="100">
                  <c:v>2007.9583333333258</c:v>
                </c:pt>
                <c:pt idx="101">
                  <c:v>2008.041666666659</c:v>
                </c:pt>
                <c:pt idx="102">
                  <c:v>2008.1249999999923</c:v>
                </c:pt>
                <c:pt idx="103">
                  <c:v>2008.2083333333255</c:v>
                </c:pt>
                <c:pt idx="104">
                  <c:v>2008.2916666666588</c:v>
                </c:pt>
                <c:pt idx="105">
                  <c:v>2008.374999999992</c:v>
                </c:pt>
                <c:pt idx="106">
                  <c:v>2008.4583333333253</c:v>
                </c:pt>
                <c:pt idx="107">
                  <c:v>2008.5416666666586</c:v>
                </c:pt>
                <c:pt idx="108">
                  <c:v>2008.6249999999918</c:v>
                </c:pt>
                <c:pt idx="109">
                  <c:v>2008.7083333333251</c:v>
                </c:pt>
                <c:pt idx="110">
                  <c:v>2008.7916666666583</c:v>
                </c:pt>
                <c:pt idx="111">
                  <c:v>2008.8749999999916</c:v>
                </c:pt>
                <c:pt idx="112">
                  <c:v>2008.9583333333248</c:v>
                </c:pt>
                <c:pt idx="113">
                  <c:v>2009.0416666666581</c:v>
                </c:pt>
                <c:pt idx="114">
                  <c:v>2009.1249999999914</c:v>
                </c:pt>
                <c:pt idx="115">
                  <c:v>2009.2083333333246</c:v>
                </c:pt>
                <c:pt idx="116">
                  <c:v>2009.2916666666579</c:v>
                </c:pt>
                <c:pt idx="117">
                  <c:v>2009.3749999999911</c:v>
                </c:pt>
                <c:pt idx="118">
                  <c:v>2009.4583333333244</c:v>
                </c:pt>
                <c:pt idx="119">
                  <c:v>2009.5416666666576</c:v>
                </c:pt>
                <c:pt idx="120">
                  <c:v>2009.6249999999909</c:v>
                </c:pt>
                <c:pt idx="121">
                  <c:v>2009.7083333333242</c:v>
                </c:pt>
                <c:pt idx="122">
                  <c:v>2009.7916666666574</c:v>
                </c:pt>
                <c:pt idx="123">
                  <c:v>2009.8749999999907</c:v>
                </c:pt>
                <c:pt idx="124">
                  <c:v>2009.9583333333239</c:v>
                </c:pt>
                <c:pt idx="125">
                  <c:v>2010.0416666666572</c:v>
                </c:pt>
                <c:pt idx="126">
                  <c:v>2010.1249999999905</c:v>
                </c:pt>
                <c:pt idx="127">
                  <c:v>2010.2083333333237</c:v>
                </c:pt>
                <c:pt idx="128">
                  <c:v>2010.291666666657</c:v>
                </c:pt>
                <c:pt idx="129">
                  <c:v>2010.3749999999902</c:v>
                </c:pt>
                <c:pt idx="130">
                  <c:v>2010.4583333333235</c:v>
                </c:pt>
                <c:pt idx="131">
                  <c:v>2010.5416666666567</c:v>
                </c:pt>
                <c:pt idx="132">
                  <c:v>2010.62499999999</c:v>
                </c:pt>
                <c:pt idx="133">
                  <c:v>2010.7083333333233</c:v>
                </c:pt>
                <c:pt idx="134">
                  <c:v>2010.7916666666565</c:v>
                </c:pt>
                <c:pt idx="135">
                  <c:v>2010.8749999999898</c:v>
                </c:pt>
                <c:pt idx="136">
                  <c:v>2010.958333333323</c:v>
                </c:pt>
                <c:pt idx="137">
                  <c:v>2011.0416666666563</c:v>
                </c:pt>
                <c:pt idx="138">
                  <c:v>2011.1249999999895</c:v>
                </c:pt>
                <c:pt idx="139">
                  <c:v>2011.2083333333228</c:v>
                </c:pt>
                <c:pt idx="140">
                  <c:v>2011.2916666666561</c:v>
                </c:pt>
                <c:pt idx="141">
                  <c:v>2011.3749999999893</c:v>
                </c:pt>
                <c:pt idx="142">
                  <c:v>2011.4583333333226</c:v>
                </c:pt>
                <c:pt idx="143">
                  <c:v>2011.5416666666558</c:v>
                </c:pt>
                <c:pt idx="144">
                  <c:v>2011.6249999999891</c:v>
                </c:pt>
                <c:pt idx="145">
                  <c:v>2011.7083333333223</c:v>
                </c:pt>
                <c:pt idx="146">
                  <c:v>2011.7916666666556</c:v>
                </c:pt>
                <c:pt idx="147">
                  <c:v>2011.8749999999889</c:v>
                </c:pt>
                <c:pt idx="148">
                  <c:v>2011.9583333333221</c:v>
                </c:pt>
                <c:pt idx="149">
                  <c:v>2012.0416666666554</c:v>
                </c:pt>
                <c:pt idx="150">
                  <c:v>2012.1249999999886</c:v>
                </c:pt>
                <c:pt idx="151">
                  <c:v>2012.2083333333219</c:v>
                </c:pt>
                <c:pt idx="152">
                  <c:v>2012.2916666666551</c:v>
                </c:pt>
                <c:pt idx="153">
                  <c:v>2012.3749999999884</c:v>
                </c:pt>
                <c:pt idx="154">
                  <c:v>2012.4583333333217</c:v>
                </c:pt>
                <c:pt idx="155">
                  <c:v>2012.5416666666549</c:v>
                </c:pt>
                <c:pt idx="156">
                  <c:v>2012.6249999999882</c:v>
                </c:pt>
                <c:pt idx="157">
                  <c:v>2012.7083333333214</c:v>
                </c:pt>
                <c:pt idx="158">
                  <c:v>2012.7916666666547</c:v>
                </c:pt>
                <c:pt idx="159">
                  <c:v>2012.8749999999879</c:v>
                </c:pt>
                <c:pt idx="160">
                  <c:v>2012.9583333333212</c:v>
                </c:pt>
                <c:pt idx="161">
                  <c:v>2013.0416666666545</c:v>
                </c:pt>
                <c:pt idx="162">
                  <c:v>2013.1249999999877</c:v>
                </c:pt>
                <c:pt idx="163">
                  <c:v>2013.208333333321</c:v>
                </c:pt>
                <c:pt idx="164">
                  <c:v>2013.2916666666542</c:v>
                </c:pt>
                <c:pt idx="165">
                  <c:v>2013.3749999999875</c:v>
                </c:pt>
                <c:pt idx="166">
                  <c:v>2013.4583333333208</c:v>
                </c:pt>
                <c:pt idx="167">
                  <c:v>2013.541666666654</c:v>
                </c:pt>
                <c:pt idx="168">
                  <c:v>2013.6249999999873</c:v>
                </c:pt>
                <c:pt idx="169">
                  <c:v>2013.7083333333205</c:v>
                </c:pt>
                <c:pt idx="170">
                  <c:v>2013.7916666666538</c:v>
                </c:pt>
                <c:pt idx="171">
                  <c:v>2013.874999999987</c:v>
                </c:pt>
                <c:pt idx="172">
                  <c:v>2013.9583333333203</c:v>
                </c:pt>
                <c:pt idx="173">
                  <c:v>2014.0416666666536</c:v>
                </c:pt>
                <c:pt idx="174">
                  <c:v>2014.1249999999868</c:v>
                </c:pt>
                <c:pt idx="175">
                  <c:v>2014.2083333333201</c:v>
                </c:pt>
                <c:pt idx="176">
                  <c:v>2014.2916666666533</c:v>
                </c:pt>
                <c:pt idx="177">
                  <c:v>2014.3749999999866</c:v>
                </c:pt>
                <c:pt idx="178">
                  <c:v>2014.4583333333198</c:v>
                </c:pt>
                <c:pt idx="179">
                  <c:v>2014.5416666666531</c:v>
                </c:pt>
                <c:pt idx="180">
                  <c:v>2014.6249999999864</c:v>
                </c:pt>
                <c:pt idx="181">
                  <c:v>2014.7083333333196</c:v>
                </c:pt>
                <c:pt idx="182">
                  <c:v>2014.7916666666529</c:v>
                </c:pt>
                <c:pt idx="183">
                  <c:v>2014.8749999999861</c:v>
                </c:pt>
                <c:pt idx="184">
                  <c:v>2014.9583333333194</c:v>
                </c:pt>
                <c:pt idx="185">
                  <c:v>2015.0416666666526</c:v>
                </c:pt>
                <c:pt idx="186">
                  <c:v>2015.1249999999859</c:v>
                </c:pt>
                <c:pt idx="187">
                  <c:v>2015.2083333333192</c:v>
                </c:pt>
                <c:pt idx="188">
                  <c:v>2015.2916666666524</c:v>
                </c:pt>
                <c:pt idx="189">
                  <c:v>2015.3749999999857</c:v>
                </c:pt>
                <c:pt idx="190">
                  <c:v>2015.4583333333189</c:v>
                </c:pt>
                <c:pt idx="191">
                  <c:v>2015.5416666666522</c:v>
                </c:pt>
                <c:pt idx="192">
                  <c:v>2015.6249999999854</c:v>
                </c:pt>
                <c:pt idx="193">
                  <c:v>2015.7083333333187</c:v>
                </c:pt>
                <c:pt idx="194">
                  <c:v>2015.791666666652</c:v>
                </c:pt>
                <c:pt idx="195">
                  <c:v>2015.8749999999852</c:v>
                </c:pt>
                <c:pt idx="196">
                  <c:v>2015.9583333333185</c:v>
                </c:pt>
                <c:pt idx="197">
                  <c:v>2016.0416666666517</c:v>
                </c:pt>
                <c:pt idx="198">
                  <c:v>2016.124999999985</c:v>
                </c:pt>
                <c:pt idx="199">
                  <c:v>2016.2083333333183</c:v>
                </c:pt>
                <c:pt idx="200">
                  <c:v>2016.2916666666515</c:v>
                </c:pt>
                <c:pt idx="201">
                  <c:v>2016.3749999999848</c:v>
                </c:pt>
                <c:pt idx="202">
                  <c:v>2016.458333333318</c:v>
                </c:pt>
                <c:pt idx="203">
                  <c:v>2016.5416666666513</c:v>
                </c:pt>
                <c:pt idx="204">
                  <c:v>2016.6249999999845</c:v>
                </c:pt>
                <c:pt idx="205">
                  <c:v>2016.7083333333178</c:v>
                </c:pt>
                <c:pt idx="206">
                  <c:v>2016.7916666666511</c:v>
                </c:pt>
                <c:pt idx="207">
                  <c:v>2016.8749999999843</c:v>
                </c:pt>
                <c:pt idx="208">
                  <c:v>2016.9583333333176</c:v>
                </c:pt>
                <c:pt idx="209">
                  <c:v>2017.0416666666508</c:v>
                </c:pt>
                <c:pt idx="210">
                  <c:v>2017.1249999999841</c:v>
                </c:pt>
                <c:pt idx="211">
                  <c:v>2017.2083333333173</c:v>
                </c:pt>
                <c:pt idx="212">
                  <c:v>2017.2916666666506</c:v>
                </c:pt>
                <c:pt idx="213">
                  <c:v>2017.3749999999839</c:v>
                </c:pt>
                <c:pt idx="214">
                  <c:v>2017.4583333333171</c:v>
                </c:pt>
                <c:pt idx="215">
                  <c:v>2017.5416666666504</c:v>
                </c:pt>
              </c:numCache>
            </c:numRef>
          </c:xVal>
          <c:yVal>
            <c:numRef>
              <c:f>'charts for prospectus'!$U$3:$U$218</c:f>
              <c:numCache>
                <c:formatCode>General</c:formatCode>
                <c:ptCount val="216"/>
                <c:pt idx="0">
                  <c:v>100</c:v>
                </c:pt>
                <c:pt idx="1">
                  <c:v>100.30290245602367</c:v>
                </c:pt>
                <c:pt idx="2">
                  <c:v>100.75238177635779</c:v>
                </c:pt>
                <c:pt idx="3">
                  <c:v>101.2255110953198</c:v>
                </c:pt>
                <c:pt idx="4">
                  <c:v>101.60356996239197</c:v>
                </c:pt>
                <c:pt idx="5">
                  <c:v>102.1325008072442</c:v>
                </c:pt>
                <c:pt idx="6">
                  <c:v>102.51909222391586</c:v>
                </c:pt>
                <c:pt idx="7">
                  <c:v>103.19779088396623</c:v>
                </c:pt>
                <c:pt idx="8">
                  <c:v>103.58354602344262</c:v>
                </c:pt>
                <c:pt idx="9">
                  <c:v>103.97521589081363</c:v>
                </c:pt>
                <c:pt idx="10">
                  <c:v>104.34548045047897</c:v>
                </c:pt>
                <c:pt idx="11">
                  <c:v>104.77325732305289</c:v>
                </c:pt>
                <c:pt idx="12">
                  <c:v>105.28349475729112</c:v>
                </c:pt>
                <c:pt idx="13">
                  <c:v>105.75378962854484</c:v>
                </c:pt>
                <c:pt idx="14">
                  <c:v>106.37903175951411</c:v>
                </c:pt>
                <c:pt idx="15">
                  <c:v>106.75171659120437</c:v>
                </c:pt>
                <c:pt idx="16">
                  <c:v>107.09904823960305</c:v>
                </c:pt>
                <c:pt idx="17">
                  <c:v>107.59825083305063</c:v>
                </c:pt>
                <c:pt idx="18">
                  <c:v>108.09117192414352</c:v>
                </c:pt>
                <c:pt idx="19">
                  <c:v>108.56705899661694</c:v>
                </c:pt>
                <c:pt idx="20">
                  <c:v>109.24811523144913</c:v>
                </c:pt>
                <c:pt idx="21">
                  <c:v>109.79833814618914</c:v>
                </c:pt>
                <c:pt idx="22">
                  <c:v>110.39332183336839</c:v>
                </c:pt>
                <c:pt idx="23">
                  <c:v>110.78307951829353</c:v>
                </c:pt>
                <c:pt idx="24">
                  <c:v>111.31417935285278</c:v>
                </c:pt>
                <c:pt idx="25">
                  <c:v>112.04765211641936</c:v>
                </c:pt>
                <c:pt idx="26">
                  <c:v>112.50709423366503</c:v>
                </c:pt>
                <c:pt idx="27">
                  <c:v>112.97782702321054</c:v>
                </c:pt>
                <c:pt idx="28">
                  <c:v>113.35966875916525</c:v>
                </c:pt>
                <c:pt idx="29">
                  <c:v>113.82485191974145</c:v>
                </c:pt>
                <c:pt idx="30">
                  <c:v>114.48713883458453</c:v>
                </c:pt>
                <c:pt idx="31">
                  <c:v>115.04468209958124</c:v>
                </c:pt>
                <c:pt idx="32">
                  <c:v>115.72305706794081</c:v>
                </c:pt>
                <c:pt idx="33">
                  <c:v>116.20494261086678</c:v>
                </c:pt>
                <c:pt idx="34">
                  <c:v>116.62964817251918</c:v>
                </c:pt>
                <c:pt idx="35">
                  <c:v>117.14099696377291</c:v>
                </c:pt>
                <c:pt idx="36">
                  <c:v>117.88449238986867</c:v>
                </c:pt>
                <c:pt idx="37">
                  <c:v>118.49632310970829</c:v>
                </c:pt>
                <c:pt idx="38">
                  <c:v>119.14774089577159</c:v>
                </c:pt>
                <c:pt idx="39">
                  <c:v>119.55846916118035</c:v>
                </c:pt>
                <c:pt idx="40">
                  <c:v>120.05423167941649</c:v>
                </c:pt>
                <c:pt idx="41">
                  <c:v>120.7270162633031</c:v>
                </c:pt>
                <c:pt idx="42">
                  <c:v>121.38974976698522</c:v>
                </c:pt>
                <c:pt idx="43">
                  <c:v>122.01403806683255</c:v>
                </c:pt>
                <c:pt idx="44">
                  <c:v>122.64009539108064</c:v>
                </c:pt>
                <c:pt idx="45">
                  <c:v>123.24741410245542</c:v>
                </c:pt>
                <c:pt idx="46">
                  <c:v>123.94765093726433</c:v>
                </c:pt>
                <c:pt idx="47">
                  <c:v>124.47029538558535</c:v>
                </c:pt>
                <c:pt idx="48">
                  <c:v>125.05598523776278</c:v>
                </c:pt>
                <c:pt idx="49">
                  <c:v>125.491795616969</c:v>
                </c:pt>
                <c:pt idx="50">
                  <c:v>126.12966586281863</c:v>
                </c:pt>
                <c:pt idx="51">
                  <c:v>126.5840791221044</c:v>
                </c:pt>
                <c:pt idx="52">
                  <c:v>127.27101661841112</c:v>
                </c:pt>
                <c:pt idx="53">
                  <c:v>127.76232201406714</c:v>
                </c:pt>
                <c:pt idx="54">
                  <c:v>128.18356078491067</c:v>
                </c:pt>
                <c:pt idx="55">
                  <c:v>128.67961746254616</c:v>
                </c:pt>
                <c:pt idx="56">
                  <c:v>129.32192111830244</c:v>
                </c:pt>
                <c:pt idx="57">
                  <c:v>129.85209191949485</c:v>
                </c:pt>
                <c:pt idx="58">
                  <c:v>130.61372255366365</c:v>
                </c:pt>
                <c:pt idx="59">
                  <c:v>131.09652534662411</c:v>
                </c:pt>
                <c:pt idx="60">
                  <c:v>131.52401491110788</c:v>
                </c:pt>
                <c:pt idx="61">
                  <c:v>132.1666042283604</c:v>
                </c:pt>
                <c:pt idx="62">
                  <c:v>132.90871654051136</c:v>
                </c:pt>
                <c:pt idx="63">
                  <c:v>133.40957050295964</c:v>
                </c:pt>
                <c:pt idx="64">
                  <c:v>133.94331297474105</c:v>
                </c:pt>
                <c:pt idx="65">
                  <c:v>134.71061005615684</c:v>
                </c:pt>
                <c:pt idx="66">
                  <c:v>135.33744707593533</c:v>
                </c:pt>
                <c:pt idx="67">
                  <c:v>136.00155355051314</c:v>
                </c:pt>
                <c:pt idx="68">
                  <c:v>136.39507471510552</c:v>
                </c:pt>
                <c:pt idx="69">
                  <c:v>136.90753981488416</c:v>
                </c:pt>
                <c:pt idx="70">
                  <c:v>137.7223156762528</c:v>
                </c:pt>
                <c:pt idx="71">
                  <c:v>138.25154594290282</c:v>
                </c:pt>
                <c:pt idx="72">
                  <c:v>138.76612089620073</c:v>
                </c:pt>
                <c:pt idx="73">
                  <c:v>139.27317191097831</c:v>
                </c:pt>
                <c:pt idx="74">
                  <c:v>139.81014184259914</c:v>
                </c:pt>
                <c:pt idx="75">
                  <c:v>140.65201135725823</c:v>
                </c:pt>
                <c:pt idx="76">
                  <c:v>141.20552772740459</c:v>
                </c:pt>
                <c:pt idx="77">
                  <c:v>141.72443112809091</c:v>
                </c:pt>
                <c:pt idx="78">
                  <c:v>142.21764770917846</c:v>
                </c:pt>
                <c:pt idx="79">
                  <c:v>142.89697255840201</c:v>
                </c:pt>
                <c:pt idx="80">
                  <c:v>143.75742948483466</c:v>
                </c:pt>
                <c:pt idx="81">
                  <c:v>144.29146239561223</c:v>
                </c:pt>
                <c:pt idx="82">
                  <c:v>144.8095742105923</c:v>
                </c:pt>
                <c:pt idx="83">
                  <c:v>145.29969833071667</c:v>
                </c:pt>
                <c:pt idx="84">
                  <c:v>146.05678991149199</c:v>
                </c:pt>
                <c:pt idx="85">
                  <c:v>146.95221524806766</c:v>
                </c:pt>
                <c:pt idx="86">
                  <c:v>147.4356610660991</c:v>
                </c:pt>
                <c:pt idx="87">
                  <c:v>147.89733187156369</c:v>
                </c:pt>
                <c:pt idx="88">
                  <c:v>148.57228936751559</c:v>
                </c:pt>
                <c:pt idx="89">
                  <c:v>149.27550480559535</c:v>
                </c:pt>
                <c:pt idx="90">
                  <c:v>149.86271945660917</c:v>
                </c:pt>
                <c:pt idx="91">
                  <c:v>150.65160490675606</c:v>
                </c:pt>
                <c:pt idx="92">
                  <c:v>151.35452730808888</c:v>
                </c:pt>
                <c:pt idx="93">
                  <c:v>152.0234111060561</c:v>
                </c:pt>
                <c:pt idx="94">
                  <c:v>152.89963306969059</c:v>
                </c:pt>
                <c:pt idx="95">
                  <c:v>153.40092416255143</c:v>
                </c:pt>
                <c:pt idx="96">
                  <c:v>153.8921391005702</c:v>
                </c:pt>
                <c:pt idx="97">
                  <c:v>154.70211458600073</c:v>
                </c:pt>
                <c:pt idx="98">
                  <c:v>155.67667368427274</c:v>
                </c:pt>
                <c:pt idx="99">
                  <c:v>156.5162318284134</c:v>
                </c:pt>
                <c:pt idx="100">
                  <c:v>157.35453845309101</c:v>
                </c:pt>
                <c:pt idx="101">
                  <c:v>157.93228260851814</c:v>
                </c:pt>
                <c:pt idx="102">
                  <c:v>158.46669518675992</c:v>
                </c:pt>
                <c:pt idx="103">
                  <c:v>159.351141695016</c:v>
                </c:pt>
                <c:pt idx="104">
                  <c:v>160.25787620703093</c:v>
                </c:pt>
                <c:pt idx="105">
                  <c:v>160.95541593005251</c:v>
                </c:pt>
                <c:pt idx="106">
                  <c:v>161.99725624986777</c:v>
                </c:pt>
                <c:pt idx="107">
                  <c:v>162.4534364075266</c:v>
                </c:pt>
                <c:pt idx="108">
                  <c:v>163.05523193984453</c:v>
                </c:pt>
                <c:pt idx="109">
                  <c:v>163.71797982295277</c:v>
                </c:pt>
                <c:pt idx="110">
                  <c:v>164.2696037140619</c:v>
                </c:pt>
                <c:pt idx="111">
                  <c:v>164.91475273680265</c:v>
                </c:pt>
                <c:pt idx="112">
                  <c:v>165.74390750038313</c:v>
                </c:pt>
                <c:pt idx="113">
                  <c:v>166.45505151993785</c:v>
                </c:pt>
                <c:pt idx="114">
                  <c:v>167.52990575707312</c:v>
                </c:pt>
                <c:pt idx="115">
                  <c:v>168.07552657092427</c:v>
                </c:pt>
                <c:pt idx="116">
                  <c:v>168.59316432411333</c:v>
                </c:pt>
                <c:pt idx="117">
                  <c:v>169.20933824009558</c:v>
                </c:pt>
                <c:pt idx="118">
                  <c:v>169.84549938023062</c:v>
                </c:pt>
                <c:pt idx="119">
                  <c:v>170.41967849130282</c:v>
                </c:pt>
                <c:pt idx="120">
                  <c:v>171.11982786524683</c:v>
                </c:pt>
                <c:pt idx="121">
                  <c:v>172.04697079114391</c:v>
                </c:pt>
                <c:pt idx="122">
                  <c:v>172.99871422651199</c:v>
                </c:pt>
                <c:pt idx="123">
                  <c:v>173.89632015477051</c:v>
                </c:pt>
                <c:pt idx="124">
                  <c:v>174.68427675290033</c:v>
                </c:pt>
                <c:pt idx="125">
                  <c:v>175.48854137978415</c:v>
                </c:pt>
                <c:pt idx="126">
                  <c:v>176.39395351288229</c:v>
                </c:pt>
                <c:pt idx="127">
                  <c:v>177.02224869489754</c:v>
                </c:pt>
                <c:pt idx="128">
                  <c:v>177.66781198817225</c:v>
                </c:pt>
                <c:pt idx="129">
                  <c:v>178.60753626985021</c:v>
                </c:pt>
                <c:pt idx="130">
                  <c:v>179.51722175335698</c:v>
                </c:pt>
                <c:pt idx="131">
                  <c:v>180.28203773209361</c:v>
                </c:pt>
                <c:pt idx="132">
                  <c:v>181.45317411252853</c:v>
                </c:pt>
                <c:pt idx="133">
                  <c:v>182.04282787381919</c:v>
                </c:pt>
                <c:pt idx="134">
                  <c:v>182.61345168151834</c:v>
                </c:pt>
                <c:pt idx="135">
                  <c:v>183.183805621744</c:v>
                </c:pt>
                <c:pt idx="136">
                  <c:v>183.79027443215918</c:v>
                </c:pt>
                <c:pt idx="137">
                  <c:v>184.38781845555405</c:v>
                </c:pt>
                <c:pt idx="138">
                  <c:v>185.05920903907798</c:v>
                </c:pt>
                <c:pt idx="139">
                  <c:v>185.65686039606396</c:v>
                </c:pt>
                <c:pt idx="140">
                  <c:v>186.2374672387455</c:v>
                </c:pt>
                <c:pt idx="141">
                  <c:v>187.19246989386727</c:v>
                </c:pt>
                <c:pt idx="142">
                  <c:v>188.27315398888103</c:v>
                </c:pt>
                <c:pt idx="143">
                  <c:v>189.05669771407432</c:v>
                </c:pt>
                <c:pt idx="144">
                  <c:v>189.88529397846591</c:v>
                </c:pt>
                <c:pt idx="145">
                  <c:v>190.66269267295766</c:v>
                </c:pt>
                <c:pt idx="146">
                  <c:v>191.5275278667408</c:v>
                </c:pt>
                <c:pt idx="147">
                  <c:v>192.43723882973609</c:v>
                </c:pt>
                <c:pt idx="148">
                  <c:v>193.39672557401241</c:v>
                </c:pt>
                <c:pt idx="149">
                  <c:v>194.23666187877816</c:v>
                </c:pt>
                <c:pt idx="150">
                  <c:v>195.42579708843783</c:v>
                </c:pt>
                <c:pt idx="151">
                  <c:v>196.42098748242142</c:v>
                </c:pt>
                <c:pt idx="152">
                  <c:v>197.4374913164981</c:v>
                </c:pt>
                <c:pt idx="153">
                  <c:v>198.13156205980539</c:v>
                </c:pt>
                <c:pt idx="154">
                  <c:v>199.0662138177324</c:v>
                </c:pt>
                <c:pt idx="155">
                  <c:v>200.35628479500735</c:v>
                </c:pt>
                <c:pt idx="156">
                  <c:v>200.95396106771258</c:v>
                </c:pt>
                <c:pt idx="157">
                  <c:v>201.75504884164681</c:v>
                </c:pt>
                <c:pt idx="158">
                  <c:v>202.58811404843709</c:v>
                </c:pt>
                <c:pt idx="159">
                  <c:v>203.35770250037444</c:v>
                </c:pt>
                <c:pt idx="160">
                  <c:v>204.30847722784958</c:v>
                </c:pt>
                <c:pt idx="161">
                  <c:v>205.21397632551606</c:v>
                </c:pt>
                <c:pt idx="162">
                  <c:v>206.11631999520418</c:v>
                </c:pt>
                <c:pt idx="163">
                  <c:v>207.23501924729149</c:v>
                </c:pt>
                <c:pt idx="164">
                  <c:v>208.25029359552789</c:v>
                </c:pt>
                <c:pt idx="165">
                  <c:v>209.28237927040317</c:v>
                </c:pt>
                <c:pt idx="166">
                  <c:v>210.27112347167602</c:v>
                </c:pt>
                <c:pt idx="167">
                  <c:v>211.42277129497461</c:v>
                </c:pt>
                <c:pt idx="168">
                  <c:v>212.26980776464745</c:v>
                </c:pt>
                <c:pt idx="169">
                  <c:v>213.49742464406972</c:v>
                </c:pt>
                <c:pt idx="170">
                  <c:v>214.54152470628543</c:v>
                </c:pt>
                <c:pt idx="171">
                  <c:v>215.59090033786524</c:v>
                </c:pt>
                <c:pt idx="172">
                  <c:v>216.37521670306629</c:v>
                </c:pt>
                <c:pt idx="173">
                  <c:v>217.1968334806742</c:v>
                </c:pt>
                <c:pt idx="174">
                  <c:v>218.59765752938745</c:v>
                </c:pt>
                <c:pt idx="175">
                  <c:v>219.3095986677063</c:v>
                </c:pt>
                <c:pt idx="176">
                  <c:v>220.03373091863116</c:v>
                </c:pt>
                <c:pt idx="177">
                  <c:v>220.86519423666235</c:v>
                </c:pt>
                <c:pt idx="178">
                  <c:v>221.73913717463066</c:v>
                </c:pt>
                <c:pt idx="179">
                  <c:v>222.55416371485444</c:v>
                </c:pt>
                <c:pt idx="180">
                  <c:v>223.59838877824365</c:v>
                </c:pt>
                <c:pt idx="181">
                  <c:v>224.7150081943166</c:v>
                </c:pt>
                <c:pt idx="182">
                  <c:v>225.42481747299396</c:v>
                </c:pt>
                <c:pt idx="183">
                  <c:v>226.46180383250456</c:v>
                </c:pt>
                <c:pt idx="184">
                  <c:v>227.52830661243624</c:v>
                </c:pt>
                <c:pt idx="185">
                  <c:v>228.31209864241575</c:v>
                </c:pt>
                <c:pt idx="186">
                  <c:v>229.42414077205302</c:v>
                </c:pt>
                <c:pt idx="187">
                  <c:v>230.78037292044615</c:v>
                </c:pt>
                <c:pt idx="188">
                  <c:v>231.80118082943918</c:v>
                </c:pt>
                <c:pt idx="189">
                  <c:v>232.81932631832473</c:v>
                </c:pt>
                <c:pt idx="190">
                  <c:v>233.74168522161477</c:v>
                </c:pt>
                <c:pt idx="191">
                  <c:v>234.99600174573581</c:v>
                </c:pt>
                <c:pt idx="192">
                  <c:v>236.26258755574287</c:v>
                </c:pt>
                <c:pt idx="193">
                  <c:v>237.7079048218026</c:v>
                </c:pt>
                <c:pt idx="194">
                  <c:v>238.89554778387986</c:v>
                </c:pt>
                <c:pt idx="195">
                  <c:v>240.34710314715954</c:v>
                </c:pt>
                <c:pt idx="196">
                  <c:v>241.19722054012462</c:v>
                </c:pt>
                <c:pt idx="197">
                  <c:v>241.86044017971349</c:v>
                </c:pt>
                <c:pt idx="198">
                  <c:v>242.95079275984264</c:v>
                </c:pt>
                <c:pt idx="199">
                  <c:v>244.27112837502688</c:v>
                </c:pt>
                <c:pt idx="200">
                  <c:v>245.11024410392255</c:v>
                </c:pt>
                <c:pt idx="201">
                  <c:v>245.83509796852425</c:v>
                </c:pt>
                <c:pt idx="202">
                  <c:v>247.16763419699151</c:v>
                </c:pt>
                <c:pt idx="203">
                  <c:v>248.60171421014411</c:v>
                </c:pt>
                <c:pt idx="204">
                  <c:v>249.80767099881288</c:v>
                </c:pt>
                <c:pt idx="205">
                  <c:v>251.37999563143666</c:v>
                </c:pt>
                <c:pt idx="206">
                  <c:v>252.33352736903916</c:v>
                </c:pt>
                <c:pt idx="207">
                  <c:v>253.27029526241841</c:v>
                </c:pt>
                <c:pt idx="208">
                  <c:v>254.06622477266879</c:v>
                </c:pt>
                <c:pt idx="209">
                  <c:v>255.30651746450005</c:v>
                </c:pt>
                <c:pt idx="210">
                  <c:v>256.55528475268602</c:v>
                </c:pt>
                <c:pt idx="211">
                  <c:v>257.38218287906284</c:v>
                </c:pt>
                <c:pt idx="212">
                  <c:v>258.55577517961223</c:v>
                </c:pt>
                <c:pt idx="213">
                  <c:v>260.22334621184609</c:v>
                </c:pt>
                <c:pt idx="214">
                  <c:v>260.9775641255485</c:v>
                </c:pt>
                <c:pt idx="215">
                  <c:v>261.99314647511801</c:v>
                </c:pt>
              </c:numCache>
            </c:numRef>
          </c:yVal>
          <c:smooth val="0"/>
        </c:ser>
        <c:dLbls>
          <c:showLegendKey val="0"/>
          <c:showVal val="0"/>
          <c:showCatName val="0"/>
          <c:showSerName val="0"/>
          <c:showPercent val="0"/>
          <c:showBubbleSize val="0"/>
        </c:dLbls>
        <c:axId val="294669432"/>
        <c:axId val="495962928"/>
      </c:scatterChart>
      <c:valAx>
        <c:axId val="294669432"/>
        <c:scaling>
          <c:orientation val="minMax"/>
          <c:max val="2018"/>
          <c:min val="1998"/>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62928"/>
        <c:crosses val="autoZero"/>
        <c:crossBetween val="midCat"/>
        <c:majorUnit val="2"/>
      </c:valAx>
      <c:valAx>
        <c:axId val="495962928"/>
        <c:scaling>
          <c:orientation val="minMax"/>
          <c:max val="2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669432"/>
        <c:crosses val="autoZero"/>
        <c:crossBetween val="midCat"/>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Risk/Return comparison</a:t>
            </a:r>
          </a:p>
          <a:p>
            <a:pPr>
              <a:defRPr/>
            </a:pPr>
            <a:r>
              <a:rPr lang="en-US"/>
              <a:t>(since 1999)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Sheet1!$L$217</c:f>
              <c:strCache>
                <c:ptCount val="1"/>
                <c:pt idx="0">
                  <c:v>Return in %</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7D51A0B5-416E-4325-88B8-F6DD10A4B95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40246745-EEAE-45CB-A4EF-4F2EBBF7620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A30D2EFC-3A23-4156-A3D8-BABA89E2C62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Sheet1!$K$218:$K$223</c:f>
              <c:numCache>
                <c:formatCode>0.00%</c:formatCode>
                <c:ptCount val="6"/>
                <c:pt idx="0">
                  <c:v>4.1133792064393514E-2</c:v>
                </c:pt>
                <c:pt idx="1">
                  <c:v>7.0869278229898653E-3</c:v>
                </c:pt>
                <c:pt idx="2">
                  <c:v>9.7344514056855319E-4</c:v>
                </c:pt>
              </c:numCache>
            </c:numRef>
          </c:xVal>
          <c:yVal>
            <c:numRef>
              <c:f>Sheet1!$L$218:$L$223</c:f>
              <c:numCache>
                <c:formatCode>0.00%</c:formatCode>
                <c:ptCount val="6"/>
                <c:pt idx="0">
                  <c:v>5.9904853940765737E-3</c:v>
                </c:pt>
                <c:pt idx="1">
                  <c:v>8.4223255813953447E-3</c:v>
                </c:pt>
                <c:pt idx="2">
                  <c:v>4.490277391584154E-3</c:v>
                </c:pt>
              </c:numCache>
            </c:numRef>
          </c:yVal>
          <c:smooth val="0"/>
          <c:extLst>
            <c:ext xmlns:c15="http://schemas.microsoft.com/office/drawing/2012/chart" uri="{02D57815-91ED-43cb-92C2-25804820EDAC}">
              <c15:datalabelsRange>
                <c15:f>Sheet1!$J$218:$J$223</c15:f>
                <c15:dlblRangeCache>
                  <c:ptCount val="6"/>
                  <c:pt idx="0">
                    <c:v>^GSPC</c:v>
                  </c:pt>
                  <c:pt idx="1">
                    <c:v>FFY</c:v>
                  </c:pt>
                  <c:pt idx="2">
                    <c:v>^TNX</c:v>
                  </c:pt>
                </c15:dlblRangeCache>
              </c15:datalabelsRange>
            </c:ext>
          </c:extLst>
        </c:ser>
        <c:dLbls>
          <c:showLegendKey val="0"/>
          <c:showVal val="0"/>
          <c:showCatName val="0"/>
          <c:showSerName val="0"/>
          <c:showPercent val="0"/>
          <c:showBubbleSize val="0"/>
        </c:dLbls>
        <c:axId val="495963712"/>
        <c:axId val="495964104"/>
      </c:scatterChart>
      <c:valAx>
        <c:axId val="49596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Monthly volatility in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64104"/>
        <c:crosses val="autoZero"/>
        <c:crossBetween val="midCat"/>
      </c:valAx>
      <c:valAx>
        <c:axId val="495964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Monthly return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6371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return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-1.0% to 0.5%</c:v>
                </c:pt>
                <c:pt idx="1">
                  <c:v>-0.5% to 0.0%</c:v>
                </c:pt>
                <c:pt idx="2">
                  <c:v>0.0% to 0.5%</c:v>
                </c:pt>
                <c:pt idx="3">
                  <c:v>0.5% to 1.0%</c:v>
                </c:pt>
                <c:pt idx="4">
                  <c:v>1.0% to 1.5%</c:v>
                </c:pt>
                <c:pt idx="5">
                  <c:v>1.5% to 2.0%</c:v>
                </c:pt>
                <c:pt idx="6">
                  <c:v>2.0% to 2.5%</c:v>
                </c:pt>
                <c:pt idx="7">
                  <c:v>2.5% to 3.0%</c:v>
                </c:pt>
                <c:pt idx="8">
                  <c:v>3.0% to 3.5%</c:v>
                </c:pt>
              </c:strCache>
            </c:strRef>
          </c:cat>
          <c:val>
            <c:numRef>
              <c:f>Sheet1!$B$2:$B$10</c:f>
              <c:numCache>
                <c:formatCode>0.0%</c:formatCode>
                <c:ptCount val="9"/>
                <c:pt idx="0">
                  <c:v>5.0000000000000001E-3</c:v>
                </c:pt>
                <c:pt idx="1">
                  <c:v>6.4000000000000001E-2</c:v>
                </c:pt>
                <c:pt idx="2">
                  <c:v>0.29299999999999998</c:v>
                </c:pt>
                <c:pt idx="3">
                  <c:v>0.245</c:v>
                </c:pt>
                <c:pt idx="4">
                  <c:v>0.186</c:v>
                </c:pt>
                <c:pt idx="5">
                  <c:v>0.13800000000000001</c:v>
                </c:pt>
                <c:pt idx="6">
                  <c:v>3.6999999999999998E-2</c:v>
                </c:pt>
                <c:pt idx="7">
                  <c:v>2.1000000000000001E-2</c:v>
                </c:pt>
                <c:pt idx="8">
                  <c:v>1.0999999999999999E-2</c:v>
                </c:pt>
              </c:numCache>
            </c:numRef>
          </c:val>
        </c:ser>
        <c:dLbls>
          <c:showLegendKey val="0"/>
          <c:showVal val="0"/>
          <c:showCatName val="0"/>
          <c:showSerName val="0"/>
          <c:showPercent val="0"/>
          <c:showBubbleSize val="0"/>
        </c:dLbls>
        <c:gapWidth val="219"/>
        <c:overlap val="-27"/>
        <c:axId val="299880448"/>
        <c:axId val="299880840"/>
      </c:barChart>
      <c:catAx>
        <c:axId val="29988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99880840"/>
        <c:crosses val="autoZero"/>
        <c:auto val="1"/>
        <c:lblAlgn val="ctr"/>
        <c:lblOffset val="100"/>
        <c:noMultiLvlLbl val="0"/>
      </c:catAx>
      <c:valAx>
        <c:axId val="29988084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8804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Performance</a:t>
            </a:r>
          </a:p>
          <a:p>
            <a:pPr>
              <a:defRPr/>
            </a:pPr>
            <a:r>
              <a:rPr lang="en-US"/>
              <a:t>FFY v. 1-month USD ^TNX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FFY</c:v>
                </c:pt>
              </c:strCache>
            </c:strRef>
          </c:tx>
          <c:spPr>
            <a:ln w="19050" cap="rnd">
              <a:solidFill>
                <a:schemeClr val="accent1"/>
              </a:solidFill>
              <a:round/>
            </a:ln>
            <a:effectLst/>
          </c:spPr>
          <c:marker>
            <c:symbol val="none"/>
          </c:marker>
          <c:xVal>
            <c:numRef>
              <c:f>Sheet1!$A$2:$A$11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xVal>
          <c:yVal>
            <c:numRef>
              <c:f>Sheet1!$B$2:$B$11</c:f>
              <c:numCache>
                <c:formatCode>0.00%</c:formatCode>
                <c:ptCount val="10"/>
                <c:pt idx="0">
                  <c:v>0.1225</c:v>
                </c:pt>
                <c:pt idx="1">
                  <c:v>7.5600000000000001E-2</c:v>
                </c:pt>
                <c:pt idx="2">
                  <c:v>0.12809999999999999</c:v>
                </c:pt>
                <c:pt idx="3">
                  <c:v>0.14430000000000001</c:v>
                </c:pt>
                <c:pt idx="4">
                  <c:v>7.8200000000000006E-2</c:v>
                </c:pt>
                <c:pt idx="5">
                  <c:v>0.12479999999999999</c:v>
                </c:pt>
                <c:pt idx="6">
                  <c:v>0.1079</c:v>
                </c:pt>
                <c:pt idx="7">
                  <c:v>0.1104</c:v>
                </c:pt>
                <c:pt idx="8">
                  <c:v>8.0799999999999997E-2</c:v>
                </c:pt>
                <c:pt idx="9">
                  <c:v>8.5800000000000001E-2</c:v>
                </c:pt>
              </c:numCache>
            </c:numRef>
          </c:yVal>
          <c:smooth val="0"/>
        </c:ser>
        <c:ser>
          <c:idx val="1"/>
          <c:order val="1"/>
          <c:tx>
            <c:strRef>
              <c:f>Sheet1!$C$1</c:f>
              <c:strCache>
                <c:ptCount val="1"/>
                <c:pt idx="0">
                  <c:v>^TNX</c:v>
                </c:pt>
              </c:strCache>
            </c:strRef>
          </c:tx>
          <c:spPr>
            <a:ln w="19050" cap="rnd">
              <a:solidFill>
                <a:schemeClr val="accent2"/>
              </a:solidFill>
              <a:round/>
            </a:ln>
            <a:effectLst/>
          </c:spPr>
          <c:marker>
            <c:symbol val="none"/>
          </c:marker>
          <c:xVal>
            <c:numRef>
              <c:f>Sheet1!$A$2:$A$11</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xVal>
          <c:yVal>
            <c:numRef>
              <c:f>Sheet1!$C$2:$C$11</c:f>
              <c:numCache>
                <c:formatCode>0.00%</c:formatCode>
                <c:ptCount val="10"/>
                <c:pt idx="0">
                  <c:v>5.91E-2</c:v>
                </c:pt>
                <c:pt idx="1">
                  <c:v>5.33E-2</c:v>
                </c:pt>
                <c:pt idx="2">
                  <c:v>5.3900000000000003E-2</c:v>
                </c:pt>
                <c:pt idx="3">
                  <c:v>5.21E-2</c:v>
                </c:pt>
                <c:pt idx="4">
                  <c:v>5.2299999999999999E-2</c:v>
                </c:pt>
                <c:pt idx="5">
                  <c:v>5.6399999999999999E-2</c:v>
                </c:pt>
                <c:pt idx="6">
                  <c:v>5.91E-2</c:v>
                </c:pt>
                <c:pt idx="7">
                  <c:v>5.1499999999999997E-2</c:v>
                </c:pt>
                <c:pt idx="8">
                  <c:v>6.0100000000000001E-2</c:v>
                </c:pt>
                <c:pt idx="9">
                  <c:v>5.3400000000000003E-2</c:v>
                </c:pt>
              </c:numCache>
            </c:numRef>
          </c:yVal>
          <c:smooth val="0"/>
        </c:ser>
        <c:dLbls>
          <c:showLegendKey val="0"/>
          <c:showVal val="0"/>
          <c:showCatName val="0"/>
          <c:showSerName val="0"/>
          <c:showPercent val="0"/>
          <c:showBubbleSize val="0"/>
        </c:dLbls>
        <c:axId val="299881624"/>
        <c:axId val="299882016"/>
      </c:scatterChart>
      <c:valAx>
        <c:axId val="299881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882016"/>
        <c:crosses val="autoZero"/>
        <c:crossBetween val="midCat"/>
      </c:valAx>
      <c:valAx>
        <c:axId val="299882016"/>
        <c:scaling>
          <c:orientation val="minMax"/>
          <c:max val="0.150000000000000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881624"/>
        <c:crosses val="autoZero"/>
        <c:crossBetween val="midCat"/>
        <c:majorUnit val="3.0000000000000006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FF7AD-D7D1-4300-89A5-309FEA25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nt425b</dc:creator>
  <cp:lastModifiedBy>Lin, Tony H</cp:lastModifiedBy>
  <cp:revision>6</cp:revision>
  <cp:lastPrinted>2014-01-17T21:31:00Z</cp:lastPrinted>
  <dcterms:created xsi:type="dcterms:W3CDTF">2017-05-18T21:09:00Z</dcterms:created>
  <dcterms:modified xsi:type="dcterms:W3CDTF">2017-06-16T21:03:00Z</dcterms:modified>
</cp:coreProperties>
</file>