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Problem – Solution Fit Template</w:t>
      </w:r>
    </w:p>
    <w:tbl>
      <w:tblPr>
        <w:tblStyle w:val="Table1"/>
        <w:tblW w:w="9006.0" w:type="dxa"/>
        <w:jc w:val="left"/>
        <w:tblLayout w:type="fixed"/>
        <w:tblLook w:val="0400"/>
      </w:tblPr>
      <w:tblGrid>
        <w:gridCol w:w="4359"/>
        <w:gridCol w:w="4647"/>
        <w:tblGridChange w:id="0">
          <w:tblGrid>
            <w:gridCol w:w="4359"/>
            <w:gridCol w:w="46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SWTID-2026-9769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AI-StudyBuddy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🎯 Problem – Solution Fit Canvas Matrix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sections below present the full mapping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StudyBuddy Backend Engine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following the structured flow of your visual canvas template. This analysis validates how the system's pure-backend properties map directly to the requirements of the target developer and end-user ecosystem.</w:t>
      </w:r>
    </w:p>
    <w:p w:rsidR="00000000" w:rsidDel="00000000" w:rsidP="00000000" w:rsidRDefault="00000000" w:rsidRPr="00000000" w14:paraId="0000000E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Block 1: Define Customer Segment, Fit into Customer Constraints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8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CUSTOMER SEGMENT(S) [CS]: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Target Group: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Engineering, medical, and high-volume academic students handling heavy textual data.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Secondary Group: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Ed-Tech developers looking for a modular, plug-and-play AI-augmented study engine to power their own custom applications.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CUSTOMER CONSTRAINTS [CC]: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Resource Limits: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Zero budget for expensive enterprise AI tools or high computing power hardware baselines.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Technical Limits: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 application dependencies that exhaust device battery, network bandwidth, or client memory allocations during browser-side calculations.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AVAILABLE SOLUTIONS [AS]: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Current Alternatives: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Manual highlighter techniques, legacy PDF reader extensions, or generic chat prompt blocks.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80" w:before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Pros &amp; Cons: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Manual note-taking is free but consumes extreme blocks of time. High-end tools offer extraction but feature rigid, paid template structures.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Block 2: Focus on Jobs-To-Be-Done, Tap into Behaviour, Understand 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Root Cause</w:t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2. JOBS-TO-BE-DONE / PROBLEMS [J&amp;P]: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Primary Task: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Condense dense multi-page reference textbooks into highly functional review sheets.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Secondary Task: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Generate reliable active-recall test questions (Quizzes/Cards) automatically without building them manually.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PROBLEM ROOT CAUSE [RC]: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Underlying Factor: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Traditional curriculum designs require processing massive amounts of text across short exam prep windows.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System Cause: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Legacy processing pipelines use static regex or template patterns that break when faced with unstructured document structures.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BEHAVIOUR [BE]: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Current Actions: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Copy-pasting random text blocks into generic web LLM boxes back-and-forth, or manually reading summaries created by peers.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8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Workarounds: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Keeping 10+ browser tabs open simultaneously, leading to heavy cognitive overhead and fragmented workspaces.</w:t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Block 3: Identify Strong Triggers &amp; Emotions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8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TRIGGERS [TR]: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Internal Triggers: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Upcoming mid-semester examinations, sudden syllabus announcements, or mounting backlogs of unread papers.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External Triggers: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Receiving heavy document packages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.pdf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from instructors before an assessment cycle.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EMOTIONS: BEFORE / AFTER [EM]: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Before Fit: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Anxious, overwhelmed, lost, and running low on preparation confidence due to massive data mountains.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8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After Fit: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Confident, organized, efficient, and in complete control since materials are parsed instantly into clean study tools.</w:t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Block 4: Core Solution, Actions, and Delivery Mediums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8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YOUR SOLUTION [SL]: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Core Engine Architecture: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highly secure, stateless Node.js / Express REST API engine connected to MongoDB Atlas.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Value Addition: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Completely automates document processing by feeding clean text buffers through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 Gemini 2.5 Flash API prompt orchestration block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immediately output structural JSON active-recall arrays.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CHANNELS OF BEHAVIOUR [CH]: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8.1 ONLINE CHANNELS: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Mapped entirely via standard HTTPS network boundaries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asynchronous RESTful API requests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Data transfers smoothly between developer integration test client setups (like Postman) and third-party UI frontends.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8.2 OFFLINE CHANNELS: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Supported by a localized, sandboxed file system parsing environment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6f7" w:val="clear"/>
          <w:rtl w:val="0"/>
        </w:rPr>
        <w:t xml:space="preserve">/uploads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that reads locally stored files directly from disk.</w:t>
      </w:r>
    </w:p>
    <w:p w:rsidR="00000000" w:rsidDel="00000000" w:rsidP="00000000" w:rsidRDefault="00000000" w:rsidRPr="00000000" w14:paraId="0000003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813262"/>
    <w:rPr>
      <w:rFonts w:ascii="Times New Roman" w:cs="Times New Roman" w:eastAsia="Times New Roman" w:hAnsi="Times New Roman"/>
      <w:b w:val="1"/>
      <w:bCs w:val="1"/>
      <w:kern w:val="0"/>
      <w:sz w:val="36"/>
      <w:szCs w:val="36"/>
    </w:rPr>
  </w:style>
  <w:style w:type="character" w:styleId="Emphasis">
    <w:name w:val="Emphasis"/>
    <w:basedOn w:val="DefaultParagraphFont"/>
    <w:uiPriority w:val="20"/>
    <w:qFormat w:val="1"/>
    <w:rsid w:val="00813262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813262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8zFNXWPLlL5SQ9HhGPVQkivbYw==">CgMxLjA4AHIhMTU0NHFTdE5HZ0RNUlBNcF9jXzBGYW9iQmF0MDgtRGEw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2026-09-27T10:42:00Z</dcterms:created>
  <dc:creator>ADMIN</dc:creator>
</cp:coreProperties>
</file>