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1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1.1111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6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Украинский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1_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1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