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ayout w:type="fixed"/>
        <w:tblLook w:val="04A0" w:firstRow="1" w:lastRow="0" w:firstColumn="1" w:lastColumn="0" w:noHBand="0" w:noVBand="1"/>
      </w:tblPr>
      <w:tblGrid>
        <w:gridCol w:w="1217"/>
        <w:gridCol w:w="1383"/>
        <w:gridCol w:w="3065"/>
        <w:gridCol w:w="1985"/>
        <w:gridCol w:w="2835"/>
      </w:tblGrid>
      <w:tr w:rsidR="007B14C8" w:rsidRPr="007048E4" w14:paraId="5A841CE1" w14:textId="77777777" w:rsidTr="008D2C98">
        <w:tc>
          <w:tcPr>
            <w:tcW w:w="1217" w:type="dxa"/>
          </w:tcPr>
          <w:p w14:paraId="59D6E7E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Study </w:t>
            </w:r>
          </w:p>
        </w:tc>
        <w:tc>
          <w:tcPr>
            <w:tcW w:w="1383" w:type="dxa"/>
          </w:tcPr>
          <w:p w14:paraId="248AE8E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Population</w:t>
            </w:r>
          </w:p>
        </w:tc>
        <w:tc>
          <w:tcPr>
            <w:tcW w:w="3065" w:type="dxa"/>
          </w:tcPr>
          <w:p w14:paraId="0016907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Target attainment </w:t>
            </w:r>
          </w:p>
        </w:tc>
        <w:tc>
          <w:tcPr>
            <w:tcW w:w="1985" w:type="dxa"/>
          </w:tcPr>
          <w:p w14:paraId="7CAFBEF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Efficacy</w:t>
            </w:r>
          </w:p>
        </w:tc>
        <w:tc>
          <w:tcPr>
            <w:tcW w:w="2835" w:type="dxa"/>
          </w:tcPr>
          <w:p w14:paraId="7D3E4FB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Safety</w:t>
            </w:r>
          </w:p>
        </w:tc>
      </w:tr>
      <w:tr w:rsidR="007B14C8" w:rsidRPr="007048E4" w14:paraId="2B547B30" w14:textId="77777777" w:rsidTr="008D2C98">
        <w:tc>
          <w:tcPr>
            <w:tcW w:w="1217" w:type="dxa"/>
          </w:tcPr>
          <w:p w14:paraId="1954CD0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Round et al 2021</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{"citationID":"cvoxdJQL","properties":{"formattedCitation":"[8]","plainCitation":"[8]","noteIndex":0},"citationItems":[{"id":575,"uris":["http://zotero.org/users/local/YdmndyLK/items/M569ES22"],"itemData":{"id":575,"type":"article-journal","abstract":"BACKGROUND: Growing evidence suggests that continuous infusion of vancomycin (CIV) is superior to intermittent infusion of vancomycin (IIV) in neonates. This quality improvement (QI) project aimed to transition from IIV to CIV with earlier and improved attainment of therapeutic vancomycin levels.\nMETHODS: The Model for Improvement framework with Plan Do Study Act cycles was used. Prospective data were collected during three phases: IIV, CIV-1 and CIV-2.\nINTERVENTIONS: A QI team developed a CIV drug monograph and a multidisciplinary education package.\nRESULTS: Using IIV, 36% (9/25) of first vancomycin levels were within target range. CIV achieved therapeutic levels twice as quickly as IIV (p &lt; 0.05) with improved first vancomycin target levels (IIV 36%, 9/25; CIV-1 55%, 16/29; CIV-2 61%, 14/23) and total therapeutic levels (IIV 44%, 37/84; CIV-1 56%, 55/98; CIV-2 69%, 79/114).\nCONCLUSIONS: This QI project demonstrated a successful transition from IIV to CIV with reduced time to achieve target vancomycin and an increased proportion of therapeutic levels.","container-title":"Journal of Perinatology: Official Journal of the California Perinatal Association","DOI":"10.1038/s41372-020-00909-3","ISSN":"1476-5543","issue":"6","journalAbbreviation":"J Perinatol","language":"eng","note":"PMID: 33469164","page":"1459-1466","source":"PubMed","title":"Continuous infusion of vancomycin improved therapeutic levels in term and preterm infants","volume":"41","author":[{"family":"Round","given":"Antonia"},{"family":"Clifton","given":"Emily"},{"family":"Stachow","given":"Lucy"},{"family":"Mittal","given":"Sumit"},{"family":"Yadav","given":"Kamini"},{"family":"Ashraf","given":"Hira"},{"family":"Sanghera","given":"Ranveer Singh"},{"family":"Ng","given":"Khuen Foong"}],"issued":{"date-parts":[["2021",6]]}}}],"schema":"https://github.com/citation-style-language/schema/raw/master/csl-citation.json"}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[8]</w:t>
            </w:r>
            <w:r w:rsidRPr="006521E0">
              <w:rPr>
                <w:rFonts w:ascii="Times New Roman" w:hAnsi="Times New Roman" w:cs="Times New Roman"/>
                <w:sz w:val="20"/>
                <w:szCs w:val="20"/>
              </w:rPr>
              <w:fldChar w:fldCharType="end"/>
            </w:r>
          </w:p>
        </w:tc>
        <w:tc>
          <w:tcPr>
            <w:tcW w:w="1383" w:type="dxa"/>
          </w:tcPr>
          <w:p w14:paraId="6549CDCB" w14:textId="77777777" w:rsidR="007B14C8" w:rsidRPr="006521E0" w:rsidRDefault="007B14C8" w:rsidP="008D2C98">
            <w:pPr>
              <w:pStyle w:val="NormalWeb"/>
              <w:rPr>
                <w:sz w:val="20"/>
                <w:szCs w:val="20"/>
                <w:lang w:val="en-US"/>
              </w:rPr>
            </w:pPr>
            <w:r w:rsidRPr="006521E0">
              <w:rPr>
                <w:sz w:val="20"/>
                <w:szCs w:val="20"/>
                <w:lang w:val="en-US"/>
              </w:rPr>
              <w:t xml:space="preserve">96 serum samples from 77 neonates </w:t>
            </w:r>
          </w:p>
        </w:tc>
        <w:tc>
          <w:tcPr>
            <w:tcW w:w="3065" w:type="dxa"/>
          </w:tcPr>
          <w:p w14:paraId="5B68DF8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u w:val="single"/>
              </w:rPr>
              <w:t xml:space="preserve">II: </w:t>
            </w:r>
            <w:r w:rsidRPr="006521E0">
              <w:rPr>
                <w:rFonts w:ascii="Times New Roman" w:hAnsi="Times New Roman" w:cs="Times New Roman"/>
                <w:i/>
                <w:iCs/>
                <w:sz w:val="20"/>
                <w:szCs w:val="20"/>
              </w:rPr>
              <w:t>Target 10-15 mg/L</w:t>
            </w:r>
          </w:p>
          <w:p w14:paraId="6155194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40%</w:t>
            </w:r>
          </w:p>
          <w:p w14:paraId="18B6EE8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Therapeutic:44%</w:t>
            </w:r>
          </w:p>
          <w:p w14:paraId="3CE9FDB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15%</w:t>
            </w:r>
          </w:p>
          <w:p w14:paraId="77B86B84" w14:textId="77777777" w:rsidR="007B14C8" w:rsidRPr="006521E0" w:rsidRDefault="007B14C8" w:rsidP="008D2C98">
            <w:pPr>
              <w:rPr>
                <w:rFonts w:ascii="Times New Roman" w:hAnsi="Times New Roman" w:cs="Times New Roman"/>
                <w:sz w:val="20"/>
                <w:szCs w:val="20"/>
              </w:rPr>
            </w:pPr>
          </w:p>
          <w:p w14:paraId="79018CB4" w14:textId="77777777" w:rsidR="007B14C8" w:rsidRPr="006521E0" w:rsidRDefault="007B14C8" w:rsidP="008D2C98">
            <w:pPr>
              <w:rPr>
                <w:rFonts w:ascii="Times New Roman" w:hAnsi="Times New Roman" w:cs="Times New Roman"/>
                <w:sz w:val="20"/>
                <w:szCs w:val="20"/>
                <w:u w:val="single"/>
              </w:rPr>
            </w:pPr>
            <w:r w:rsidRPr="006521E0">
              <w:rPr>
                <w:rFonts w:ascii="Times New Roman" w:hAnsi="Times New Roman" w:cs="Times New Roman"/>
                <w:sz w:val="20"/>
                <w:szCs w:val="20"/>
                <w:u w:val="single"/>
              </w:rPr>
              <w:t xml:space="preserve">CI-step1: </w:t>
            </w:r>
            <w:r w:rsidRPr="006521E0">
              <w:rPr>
                <w:rFonts w:ascii="Times New Roman" w:hAnsi="Times New Roman" w:cs="Times New Roman"/>
                <w:i/>
                <w:iCs/>
                <w:sz w:val="20"/>
                <w:szCs w:val="20"/>
              </w:rPr>
              <w:t>Target 15-25 mg/L</w:t>
            </w:r>
          </w:p>
          <w:p w14:paraId="4B7FC90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31%</w:t>
            </w:r>
          </w:p>
          <w:p w14:paraId="004F0FB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Therapeutic:56%</w:t>
            </w:r>
          </w:p>
          <w:p w14:paraId="7419DB7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13 %</w:t>
            </w:r>
          </w:p>
          <w:p w14:paraId="1F04EF66"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 </w:t>
            </w:r>
          </w:p>
          <w:p w14:paraId="1B60E077" w14:textId="77777777" w:rsidR="007B14C8" w:rsidRPr="006521E0" w:rsidRDefault="007B14C8" w:rsidP="008D2C98">
            <w:pPr>
              <w:rPr>
                <w:rFonts w:ascii="Times New Roman" w:hAnsi="Times New Roman" w:cs="Times New Roman"/>
                <w:sz w:val="20"/>
                <w:szCs w:val="20"/>
                <w:u w:val="single"/>
              </w:rPr>
            </w:pPr>
            <w:r w:rsidRPr="006521E0">
              <w:rPr>
                <w:rFonts w:ascii="Times New Roman" w:hAnsi="Times New Roman" w:cs="Times New Roman"/>
                <w:sz w:val="20"/>
                <w:szCs w:val="20"/>
                <w:u w:val="single"/>
              </w:rPr>
              <w:t xml:space="preserve">CI-step2: </w:t>
            </w:r>
            <w:r w:rsidRPr="006521E0">
              <w:rPr>
                <w:rFonts w:ascii="Times New Roman" w:hAnsi="Times New Roman" w:cs="Times New Roman"/>
                <w:i/>
                <w:iCs/>
                <w:sz w:val="20"/>
                <w:szCs w:val="20"/>
              </w:rPr>
              <w:t>Target 15-25 mg/L</w:t>
            </w:r>
          </w:p>
          <w:p w14:paraId="6E9008D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25</w:t>
            </w:r>
          </w:p>
          <w:p w14:paraId="26B061F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Therapeutic:69 %</w:t>
            </w:r>
          </w:p>
          <w:p w14:paraId="57AA572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5 %</w:t>
            </w:r>
          </w:p>
          <w:p w14:paraId="3CDE75FE" w14:textId="77777777" w:rsidR="007B14C8" w:rsidRPr="006521E0" w:rsidRDefault="007B14C8" w:rsidP="008D2C98">
            <w:pPr>
              <w:pStyle w:val="NormalWeb"/>
              <w:rPr>
                <w:sz w:val="20"/>
                <w:szCs w:val="20"/>
                <w:lang w:val="en-US"/>
              </w:rPr>
            </w:pPr>
            <w:r w:rsidRPr="006521E0">
              <w:rPr>
                <w:sz w:val="20"/>
                <w:szCs w:val="20"/>
                <w:lang w:val="en-US"/>
              </w:rPr>
              <w:t xml:space="preserve">Time taken to achieve target: </w:t>
            </w:r>
          </w:p>
          <w:p w14:paraId="3D6170A8" w14:textId="77777777" w:rsidR="007B14C8" w:rsidRPr="006521E0" w:rsidRDefault="007B14C8" w:rsidP="008D2C98">
            <w:pPr>
              <w:pStyle w:val="NormalWeb"/>
              <w:rPr>
                <w:sz w:val="20"/>
                <w:szCs w:val="20"/>
                <w:lang w:val="en-US"/>
              </w:rPr>
            </w:pPr>
            <w:r w:rsidRPr="006521E0">
              <w:rPr>
                <w:sz w:val="20"/>
                <w:szCs w:val="20"/>
                <w:lang w:val="en-US"/>
              </w:rPr>
              <w:t xml:space="preserve">II: 51 h (12–166) </w:t>
            </w:r>
            <w:r w:rsidRPr="006521E0">
              <w:rPr>
                <w:sz w:val="20"/>
                <w:szCs w:val="20"/>
                <w:vertAlign w:val="superscript"/>
                <w:lang w:val="en-US"/>
              </w:rPr>
              <w:t>c</w:t>
            </w:r>
          </w:p>
          <w:p w14:paraId="5E2BBFA3" w14:textId="77777777" w:rsidR="007B14C8" w:rsidRPr="006521E0" w:rsidRDefault="007B14C8" w:rsidP="008D2C98">
            <w:pPr>
              <w:pStyle w:val="NormalWeb"/>
              <w:rPr>
                <w:sz w:val="20"/>
                <w:szCs w:val="20"/>
                <w:lang w:val="en-US"/>
              </w:rPr>
            </w:pPr>
            <w:r w:rsidRPr="006521E0">
              <w:rPr>
                <w:sz w:val="20"/>
                <w:szCs w:val="20"/>
                <w:lang w:val="en-US"/>
              </w:rPr>
              <w:t>CI-step1: 22.5 h (12–69)</w:t>
            </w:r>
            <w:r w:rsidRPr="006521E0">
              <w:rPr>
                <w:sz w:val="20"/>
                <w:szCs w:val="20"/>
                <w:vertAlign w:val="superscript"/>
                <w:lang w:val="en-US"/>
              </w:rPr>
              <w:t xml:space="preserve"> c</w:t>
            </w:r>
            <w:r w:rsidRPr="006521E0">
              <w:rPr>
                <w:sz w:val="20"/>
                <w:szCs w:val="20"/>
                <w:lang w:val="en-US"/>
              </w:rPr>
              <w:t xml:space="preserve">  </w:t>
            </w:r>
          </w:p>
          <w:p w14:paraId="4F63AB8D" w14:textId="77777777" w:rsidR="007B14C8" w:rsidRPr="006521E0" w:rsidRDefault="007B14C8" w:rsidP="008D2C98">
            <w:pPr>
              <w:pStyle w:val="NormalWeb"/>
              <w:rPr>
                <w:sz w:val="20"/>
                <w:szCs w:val="20"/>
                <w:vertAlign w:val="superscript"/>
                <w:lang w:val="en-US"/>
              </w:rPr>
            </w:pPr>
            <w:r w:rsidRPr="006521E0">
              <w:rPr>
                <w:sz w:val="20"/>
                <w:szCs w:val="20"/>
                <w:lang w:val="en-US"/>
              </w:rPr>
              <w:t xml:space="preserve">CI-step2: 24 h (14–108) </w:t>
            </w:r>
            <w:r w:rsidRPr="006521E0">
              <w:rPr>
                <w:sz w:val="20"/>
                <w:szCs w:val="20"/>
                <w:vertAlign w:val="superscript"/>
                <w:lang w:val="en-US"/>
              </w:rPr>
              <w:t>c</w:t>
            </w:r>
          </w:p>
          <w:p w14:paraId="3DB92A2C" w14:textId="77777777" w:rsidR="007B14C8" w:rsidRPr="006521E0" w:rsidRDefault="007B14C8" w:rsidP="008D2C98">
            <w:pPr>
              <w:rPr>
                <w:rFonts w:ascii="Times New Roman" w:hAnsi="Times New Roman" w:cs="Times New Roman"/>
                <w:sz w:val="20"/>
                <w:szCs w:val="20"/>
              </w:rPr>
            </w:pPr>
          </w:p>
        </w:tc>
        <w:tc>
          <w:tcPr>
            <w:tcW w:w="1985" w:type="dxa"/>
          </w:tcPr>
          <w:p w14:paraId="0393ADA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NA</w:t>
            </w:r>
          </w:p>
        </w:tc>
        <w:tc>
          <w:tcPr>
            <w:tcW w:w="2835" w:type="dxa"/>
          </w:tcPr>
          <w:p w14:paraId="537AC1EE"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No complication</w:t>
            </w:r>
          </w:p>
          <w:p w14:paraId="276E9982" w14:textId="77777777" w:rsidR="007B14C8" w:rsidRPr="006521E0" w:rsidRDefault="007B14C8" w:rsidP="008D2C98">
            <w:pPr>
              <w:pStyle w:val="NormalWeb"/>
              <w:rPr>
                <w:sz w:val="20"/>
                <w:szCs w:val="20"/>
                <w:lang w:val="en-US"/>
              </w:rPr>
            </w:pPr>
            <w:r w:rsidRPr="006521E0">
              <w:rPr>
                <w:sz w:val="20"/>
                <w:szCs w:val="20"/>
                <w:lang w:val="en-US"/>
              </w:rPr>
              <w:t>Difference in creatinine level refers to the baseline creatinine minus highest creatinine while on vancomycin (</w:t>
            </w:r>
            <w:r w:rsidRPr="006521E0">
              <w:rPr>
                <w:sz w:val="20"/>
                <w:szCs w:val="20"/>
                <w:lang w:val="en-US"/>
              </w:rPr>
              <w:sym w:font="Symbol" w:char="F06D"/>
            </w:r>
            <w:r w:rsidRPr="006521E0">
              <w:rPr>
                <w:sz w:val="20"/>
                <w:szCs w:val="20"/>
                <w:lang w:val="en-US"/>
              </w:rPr>
              <w:t xml:space="preserve">mol/L). differences in creatinine levels </w:t>
            </w:r>
          </w:p>
          <w:p w14:paraId="5903E618" w14:textId="77777777" w:rsidR="007B14C8" w:rsidRPr="006521E0" w:rsidRDefault="007B14C8" w:rsidP="008D2C98">
            <w:pPr>
              <w:pStyle w:val="NormalWeb"/>
              <w:rPr>
                <w:sz w:val="20"/>
                <w:szCs w:val="20"/>
                <w:lang w:val="en-US"/>
              </w:rPr>
            </w:pPr>
            <w:r w:rsidRPr="006521E0">
              <w:rPr>
                <w:sz w:val="20"/>
                <w:szCs w:val="20"/>
                <w:lang w:val="en-US"/>
              </w:rPr>
              <w:t xml:space="preserve">II: 1 (−6 to 39) </w:t>
            </w:r>
            <w:r w:rsidRPr="006521E0">
              <w:rPr>
                <w:sz w:val="20"/>
                <w:szCs w:val="20"/>
                <w:vertAlign w:val="superscript"/>
                <w:lang w:val="en-US"/>
              </w:rPr>
              <w:t>a</w:t>
            </w:r>
          </w:p>
          <w:p w14:paraId="059F06B5" w14:textId="77777777" w:rsidR="007B14C8" w:rsidRPr="006521E0" w:rsidRDefault="007B14C8" w:rsidP="008D2C98">
            <w:pPr>
              <w:pStyle w:val="NormalWeb"/>
              <w:rPr>
                <w:sz w:val="20"/>
                <w:szCs w:val="20"/>
                <w:lang w:val="en-US"/>
              </w:rPr>
            </w:pPr>
            <w:r w:rsidRPr="006521E0">
              <w:rPr>
                <w:sz w:val="20"/>
                <w:szCs w:val="20"/>
                <w:lang w:val="en-US"/>
              </w:rPr>
              <w:t>CI step 1: 3 (-31 to 45)</w:t>
            </w:r>
            <w:r w:rsidRPr="006521E0">
              <w:rPr>
                <w:sz w:val="20"/>
                <w:szCs w:val="20"/>
                <w:vertAlign w:val="superscript"/>
                <w:lang w:val="en-US"/>
              </w:rPr>
              <w:t xml:space="preserve"> a</w:t>
            </w:r>
          </w:p>
          <w:p w14:paraId="40D0F504" w14:textId="77777777" w:rsidR="007B14C8" w:rsidRPr="006521E0" w:rsidRDefault="007B14C8" w:rsidP="008D2C98">
            <w:pPr>
              <w:pStyle w:val="NormalWeb"/>
              <w:rPr>
                <w:sz w:val="20"/>
                <w:szCs w:val="20"/>
                <w:lang w:val="en-US"/>
              </w:rPr>
            </w:pPr>
            <w:r w:rsidRPr="006521E0">
              <w:rPr>
                <w:sz w:val="20"/>
                <w:szCs w:val="20"/>
                <w:lang w:val="en-US"/>
              </w:rPr>
              <w:t>CI step 2: 0 (-50 to 60)</w:t>
            </w:r>
            <w:r w:rsidRPr="006521E0">
              <w:rPr>
                <w:sz w:val="20"/>
                <w:szCs w:val="20"/>
                <w:vertAlign w:val="superscript"/>
                <w:lang w:val="en-US"/>
              </w:rPr>
              <w:t xml:space="preserve"> a</w:t>
            </w:r>
          </w:p>
        </w:tc>
      </w:tr>
      <w:tr w:rsidR="007B14C8" w:rsidRPr="007048E4" w14:paraId="0CA62B2B" w14:textId="77777777" w:rsidTr="008D2C98">
        <w:tc>
          <w:tcPr>
            <w:tcW w:w="1217" w:type="dxa"/>
          </w:tcPr>
          <w:p w14:paraId="6306A705"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Tauzin et al </w:t>
            </w:r>
          </w:p>
          <w:p w14:paraId="114248B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2019</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{"citationID":"4GqEt208","properties":{"formattedCitation":"[13]","plainCitation":"[13]","noteIndex":0},"citationItems":[{"id":570,"uris":["http://zotero.org/users/local/YdmndyLK/items/B2VV93ZD"],"itemData":{"id":570,"type":"article-journal","abstract":"Introduction: Vancomycin remains the reference antibiotic in neonates for care-related infections caused by ß-lactam-resistant Gram-positive bacteria. Achieving the optimal serum vancomycin level is challenging because of high inter-individual variability and the drug's narrow therapeutic window. Continuous infusion might offer pharmacokinetic and practical advantages, but we lack consensus on the dosing regimen. The aim was to determine the proportion of neonates achieving an optimal therapeutic vancomycin level at the first vancomycin concentration assay and which dosing regimen is the most suitable for neonates. Methods: All neonates receiving continuous-infusion vancomycin (loading dose 15 mg/kg and maintenance dose 30 mg/kg/d) in a neonatal intensive care unit were retrospectively analyzed. The proportion of neonates reaching the target serum vancomycin level was calculated. After reviewing the literature to identify all published articles proposing a dosing regimen for continuous-infusion vancomycin for neonates, regimens were theoretically applied to our population by using maintenance doses according to covariate(s) proposed in the original publication. Results: Between January 2013 and December 2014, 75 neonates received 91 vancomycin courses by continuous infusion. Median gestational age, birth weight, and postnatal age were 27 weeks (interquartile range 26-30.5), 815 g (685-1,240), and 15 days (9-33). At the first assay, only 28/91 (30.8%) courses resulted in vancomycin levels between 20 and 30 mg/L (target level), 23/91 (25.3%) &gt;30 mg/L and 40/91 (43.9%) &lt;20 mg/L. We applied six published dosing regimens to our patients. One of these dosing regimens based on corrected gestational age (CGA) and serum creatinine level (SCR) would have allowed us to prescribe lower doses to neonates with high vancomycin levels and higher doses to neonates with low levels. Conclusions: A simplified dosing regimen of continuous-infusion vancomycin did not achieve therapeutic ranges in neonates; a patient-tailored dosing regimen taking into account CGA and SCR level or an individualized pharmacokinetic model can help to anticipate the inter-individual variability in neonates and would have been more suitable.","container-title":"Frontiers in Pediatrics","DOI":"10.3389/fped.2019.00188","ISSN":"2296-2360","journalAbbreviation":"Front Pediatr","language":"eng","note":"PMID: 31139607\nPMCID: PMC6527807","page":"188","source":"PubMed","title":"Continuous-Infusion Vancomycin in Neonates: Assessment of a Dosing Regimen and Therapeutic Proposal","title-short":"Continuous-Infusion Vancomycin in Neonates","volume":"7","author":[{"family":"Tauzin","given":"Manon"},{"family":"Cohen","given":"Robert"},{"family":"Durrmeyer","given":"Xavier"},{"family":"Dassieu","given":"Gilles"},{"family":"Barre","given":"Jérôme"},{"family":"Caeymaex","given":"Laurence"}],"issued":{"date-parts":[["2019"]]}}}],"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[13]</w:t>
            </w:r>
            <w:r w:rsidRPr="006521E0">
              <w:rPr>
                <w:rFonts w:ascii="Times New Roman" w:hAnsi="Times New Roman" w:cs="Times New Roman"/>
                <w:sz w:val="20"/>
                <w:szCs w:val="20"/>
              </w:rPr>
              <w:fldChar w:fldCharType="end"/>
            </w:r>
          </w:p>
        </w:tc>
        <w:tc>
          <w:tcPr>
            <w:tcW w:w="1383" w:type="dxa"/>
          </w:tcPr>
          <w:p w14:paraId="36EBEBB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75 neonates 184 serum samples</w:t>
            </w:r>
          </w:p>
        </w:tc>
        <w:tc>
          <w:tcPr>
            <w:tcW w:w="3065" w:type="dxa"/>
          </w:tcPr>
          <w:p w14:paraId="13BED2E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i/>
                <w:iCs/>
                <w:sz w:val="20"/>
                <w:szCs w:val="20"/>
              </w:rPr>
              <w:t>Target 20-30 mg/L</w:t>
            </w:r>
          </w:p>
          <w:p w14:paraId="1AACBDD5"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43.9%</w:t>
            </w:r>
          </w:p>
          <w:p w14:paraId="6FFB61C7"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Therapeutic: 30.8 % Supratherapeutic: 25.3% </w:t>
            </w:r>
          </w:p>
          <w:p w14:paraId="19E3017D" w14:textId="77777777" w:rsidR="007B14C8" w:rsidRPr="006521E0" w:rsidRDefault="007B14C8" w:rsidP="008D2C98">
            <w:pPr>
              <w:rPr>
                <w:rFonts w:ascii="Times New Roman" w:hAnsi="Times New Roman" w:cs="Times New Roman"/>
                <w:sz w:val="20"/>
                <w:szCs w:val="20"/>
              </w:rPr>
            </w:pPr>
          </w:p>
        </w:tc>
        <w:tc>
          <w:tcPr>
            <w:tcW w:w="1985" w:type="dxa"/>
          </w:tcPr>
          <w:p w14:paraId="34BCC4FE"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NA</w:t>
            </w:r>
          </w:p>
        </w:tc>
        <w:tc>
          <w:tcPr>
            <w:tcW w:w="2835" w:type="dxa"/>
          </w:tcPr>
          <w:p w14:paraId="48DE210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NA</w:t>
            </w:r>
          </w:p>
        </w:tc>
      </w:tr>
      <w:tr w:rsidR="007B14C8" w:rsidRPr="007048E4" w14:paraId="3C042860" w14:textId="77777777" w:rsidTr="008D2C98">
        <w:tc>
          <w:tcPr>
            <w:tcW w:w="1217" w:type="dxa"/>
          </w:tcPr>
          <w:p w14:paraId="5DD2BC6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Zhao et al 2013</w:t>
            </w:r>
          </w:p>
          <w:p w14:paraId="7891B21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{"citationID":"5pV1WzXR","properties":{"formattedCitation":"[9]","plainCitation":"[9]","noteIndex":0},"citationItems":[{"id":606,"uris":["http://zotero.org/users/local/YdmndyLK/items/TPLHAGEP"],"itemData":{"id":606,"type":"article-journal","abstract":"OBJECTIVE: Because pharmacokinetic data are limited, continuous infusions of vancomycin in neonates are administered using different dosing regimens. The aim of this work was to evaluate the results of vancomycin therapeutic drug monitoring (TDM) under three different dosing regimens and to optimise vancomycin therapy.\nMETHODS: Vancomycin TDM concentrations were noted and compared prospectively in three hospitals. Population pharmacokinetic analysis was performed to optimise dosing using NONMEM software. Patient-tailored optimised dosing regimens were evaluated in a prospective study.\nRESULTS: Two hundred and seven serum vancomycin concentrations from 116 neonates were analysed. Only 48 neonates (41%) had serum vancomycin concentrations within the therapeutic range of 15-25 mg/l using a current dosing regimen. Concentrations ranged from 5.1 to 61.5 mg/l. Loading doses were required to decrease the risk of sub-therapeutic levels during early treatment. An optimised dosing regimen, taking into account birth weight, current weight, postnatal age and serum creatinine, was developed based on a one-compartment pharmacokinetic model. A prospective validation study in 58 neonates demonstrated a higher percentage of neonates (70.7%, n=41) reaching the therapeutic range and early dosage adaptation (6-12 h post-dose) using an optimised dosing regimen.\nCONCLUSIONS: A patient-tailored optimised dosing regimen should be used routinely to individualise vancomycin continuous infusion therapy in neonates.","container-title":"Archives of Disease in Childhood","DOI":"10.1136/archdischild-2012-302765","ISSN":"1468-2044","issue":"6","journalAbbreviation":"Arch Dis Child","language":"eng","note":"PMID: 23254142","page":"449-453","source":"PubMed","title":"Vancomycin continuous infusion in neonates: dosing optimisation and therapeutic drug monitoring","title-short":"Vancomycin continuous infusion in neonates","volume":"98","author":[{"family":"Zhao","given":"Wei"},{"family":"Lopez","given":"Emmanuel"},{"family":"Biran","given":"Valérie"},{"family":"Durrmeyer","given":"Xavier"},{"family":"Fakhoury","given":"May"},{"family":"Jacqz-Aigrain","given":"Evelyne"}],"issued":{"date-parts":[["2013",6]]}}}],"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[9]</w:t>
            </w:r>
            <w:r w:rsidRPr="006521E0">
              <w:rPr>
                <w:rFonts w:ascii="Times New Roman" w:hAnsi="Times New Roman" w:cs="Times New Roman"/>
                <w:sz w:val="20"/>
                <w:szCs w:val="20"/>
              </w:rPr>
              <w:fldChar w:fldCharType="end"/>
            </w:r>
          </w:p>
        </w:tc>
        <w:tc>
          <w:tcPr>
            <w:tcW w:w="1383" w:type="dxa"/>
          </w:tcPr>
          <w:p w14:paraId="08695EC5"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116 neonates</w:t>
            </w:r>
          </w:p>
        </w:tc>
        <w:tc>
          <w:tcPr>
            <w:tcW w:w="3065" w:type="dxa"/>
          </w:tcPr>
          <w:p w14:paraId="4D65535A"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i/>
                <w:iCs/>
                <w:sz w:val="20"/>
                <w:szCs w:val="20"/>
              </w:rPr>
              <w:t>Target 15-25 mg/L</w:t>
            </w:r>
          </w:p>
          <w:p w14:paraId="433B8ED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30.2%</w:t>
            </w:r>
          </w:p>
          <w:p w14:paraId="5EE3C49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Therapeutic: 41.4 % Supratherapeutic: 28.4% </w:t>
            </w:r>
          </w:p>
          <w:p w14:paraId="62F8CF2E" w14:textId="77777777" w:rsidR="007B14C8" w:rsidRPr="006521E0" w:rsidRDefault="007B14C8" w:rsidP="008D2C98">
            <w:pPr>
              <w:rPr>
                <w:rFonts w:ascii="Times New Roman" w:hAnsi="Times New Roman" w:cs="Times New Roman"/>
                <w:sz w:val="20"/>
                <w:szCs w:val="20"/>
              </w:rPr>
            </w:pPr>
          </w:p>
        </w:tc>
        <w:tc>
          <w:tcPr>
            <w:tcW w:w="1985" w:type="dxa"/>
          </w:tcPr>
          <w:p w14:paraId="7E31161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NA</w:t>
            </w:r>
          </w:p>
        </w:tc>
        <w:tc>
          <w:tcPr>
            <w:tcW w:w="2835" w:type="dxa"/>
          </w:tcPr>
          <w:p w14:paraId="3C2A40C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NA</w:t>
            </w:r>
          </w:p>
        </w:tc>
      </w:tr>
      <w:tr w:rsidR="007B14C8" w:rsidRPr="007048E4" w14:paraId="654FBC8B" w14:textId="77777777" w:rsidTr="008D2C98">
        <w:tc>
          <w:tcPr>
            <w:tcW w:w="1217" w:type="dxa"/>
          </w:tcPr>
          <w:p w14:paraId="068DBE0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Plan et al 2008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{"citationID":"72QC0aLt","properties":{"formattedCitation":"[19]","plainCitation":"[19]","noteIndex":0},"citationItems":[{"id":1335,"uris":["http://zotero.org/users/local/YdmndyLK/items/T3Z5N5TG"],"itemData":{"id":1335,"type":"article-journal","abstract":"BACKGROUND: Intermittent infusion of vancomycin is widely used to treat late-onset sepsis in neonates. On the other hand, the continuous infusion of vancomycin could improve bactericidal efficacy since its action is time dependent.\nOBJECTIVE: To evaluate a simplified dosage schedule for continuous-infusion vancomycin therapy.\nMETHODS: Prospective study in premature neonates (&lt;34 weeks) with suspected coagulase-negative staphylococci (CoNS) sepsis. Before antibiotics at time zero (T0), serum creatinine was measured and blood cultures were collected. Vancomycin dosage began with 25 mg/kg/day or 15 mg/kg/day (period 1) and 30 mg/kg/day or 20 mg/kg/day (period 2) depending on whether serum creatinine was below or above 90 mumol/l. Two days after beginning treatment (first timepoint: T1), serum vancomycin was measured and second blood cultures were collected.\nRESULTS: Between June 2002 and December 2005, 145 neonates were evaluated. At birth, the median (interquartile range) body weight was 920 (500-1160) g and gestational age was 28 (26-29) weeks. At T1, serum vancomycin was within the required range in 74.5% of neonates (108/145). Serum vancomycin levels were higher in period 2 than in period 1 (20 mg/l vs 13 mg/l, p&lt;0.05). At T0, 55% (80/145) of blood cultures were positive for CoNS, but 71% (57/80) were negative at T1. Four days after beginning treatment, 92% of subjects had recovered without removing the central venous catheter.\nCONCLUSION: Using this simplified dosage schedule, bactericidal efficacy was maintained and most subjects had serum vancomycin concentrations within the therapeutic range.","container-title":"Archives of Disease in Childhood. Fetal and Neonatal Edition","DOI":"10.1136/adc.2007.128280","ISSN":"1468-2052","issue":"6","journalAbbreviation":"Arch Dis Child Fetal Neonatal Ed","language":"eng","note":"PMID: 18450803","page":"F418-421","source":"PubMed","title":"Continuous-infusion vancomycin therapy for preterm neonates with suspected or documented Gram-positive infections: a new dosage schedule","title-short":"Continuous-infusion vancomycin therapy for preterm neonates with suspected or documented Gram-positive infections","volume":"93","author":[{"family":"Plan","given":"O."},{"family":"Cambonie","given":"G."},{"family":"Barbotte","given":"E."},{"family":"Meyer","given":"P."},{"family":"Devine","given":"C."},{"family":"Milesi","given":"C."},{"family":"Pidoux","given":"O."},{"family":"Badr","given":"M."},{"family":"Picaud","given":"J. C."}],"issued":{"date-parts":[["2008",11]]}}}],"schema":"https://github.com/citation-style-language/schema/raw/master/csl-citation.json"}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[19]</w:t>
            </w:r>
            <w:r w:rsidRPr="006521E0">
              <w:rPr>
                <w:rFonts w:ascii="Times New Roman" w:hAnsi="Times New Roman" w:cs="Times New Roman"/>
                <w:sz w:val="20"/>
                <w:szCs w:val="20"/>
              </w:rPr>
              <w:fldChar w:fldCharType="end"/>
            </w:r>
          </w:p>
        </w:tc>
        <w:tc>
          <w:tcPr>
            <w:tcW w:w="1383" w:type="dxa"/>
          </w:tcPr>
          <w:p w14:paraId="06C09DA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145 neonates (73 in period </w:t>
            </w:r>
            <w:r w:rsidRPr="006521E0">
              <w:rPr>
                <w:rFonts w:ascii="Times New Roman" w:hAnsi="Times New Roman" w:cs="Times New Roman"/>
                <w:sz w:val="20"/>
                <w:szCs w:val="20"/>
              </w:rPr>
              <w:lastRenderedPageBreak/>
              <w:t>1 and 72 in period 2)</w:t>
            </w:r>
          </w:p>
        </w:tc>
        <w:tc>
          <w:tcPr>
            <w:tcW w:w="3065" w:type="dxa"/>
          </w:tcPr>
          <w:p w14:paraId="266D4B4A"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lastRenderedPageBreak/>
              <w:t>Target 10-25 mg/L</w:t>
            </w:r>
          </w:p>
          <w:p w14:paraId="49EE2921" w14:textId="77777777" w:rsidR="007B14C8" w:rsidRPr="006521E0" w:rsidRDefault="007B14C8" w:rsidP="008D2C98">
            <w:pPr>
              <w:rPr>
                <w:rFonts w:ascii="Times New Roman" w:hAnsi="Times New Roman" w:cs="Times New Roman"/>
                <w:sz w:val="20"/>
                <w:szCs w:val="20"/>
              </w:rPr>
            </w:pPr>
          </w:p>
          <w:p w14:paraId="50ACA94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Period 1 </w:t>
            </w:r>
          </w:p>
          <w:p w14:paraId="0AE633C1" w14:textId="77777777" w:rsidR="007B14C8" w:rsidRPr="006521E0" w:rsidRDefault="007B14C8" w:rsidP="008D2C98">
            <w:pPr>
              <w:rPr>
                <w:rFonts w:ascii="Times New Roman" w:hAnsi="Times New Roman" w:cs="Times New Roman"/>
                <w:sz w:val="20"/>
                <w:szCs w:val="20"/>
              </w:rPr>
            </w:pPr>
          </w:p>
          <w:p w14:paraId="3C5C205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24%</w:t>
            </w:r>
          </w:p>
          <w:p w14:paraId="3552AB43"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Therapeutic: 74 % Supratherapeutic: 1.4% </w:t>
            </w:r>
          </w:p>
          <w:p w14:paraId="3F80FF82" w14:textId="77777777" w:rsidR="007B14C8" w:rsidRPr="006521E0" w:rsidRDefault="007B14C8" w:rsidP="008D2C98">
            <w:pPr>
              <w:rPr>
                <w:rFonts w:ascii="Times New Roman" w:hAnsi="Times New Roman" w:cs="Times New Roman"/>
                <w:sz w:val="20"/>
                <w:szCs w:val="20"/>
              </w:rPr>
            </w:pPr>
          </w:p>
          <w:p w14:paraId="52D6F3B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Period 2</w:t>
            </w:r>
          </w:p>
          <w:p w14:paraId="1B50BD5A"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5%</w:t>
            </w:r>
          </w:p>
          <w:p w14:paraId="037CE19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Therapeutic: 75 % Supratherapeutic: 19% </w:t>
            </w:r>
          </w:p>
          <w:p w14:paraId="68E6302B" w14:textId="77777777" w:rsidR="007B14C8" w:rsidRPr="006521E0" w:rsidRDefault="007B14C8" w:rsidP="008D2C98">
            <w:pPr>
              <w:rPr>
                <w:rFonts w:ascii="Times New Roman" w:hAnsi="Times New Roman" w:cs="Times New Roman"/>
                <w:sz w:val="20"/>
                <w:szCs w:val="20"/>
              </w:rPr>
            </w:pPr>
          </w:p>
        </w:tc>
        <w:tc>
          <w:tcPr>
            <w:tcW w:w="1985" w:type="dxa"/>
          </w:tcPr>
          <w:p w14:paraId="61D2E02C" w14:textId="77777777" w:rsidR="007B14C8" w:rsidRPr="006521E0" w:rsidRDefault="007B14C8" w:rsidP="008D2C98">
            <w:pPr>
              <w:pStyle w:val="NormalWeb"/>
              <w:rPr>
                <w:sz w:val="20"/>
                <w:szCs w:val="20"/>
                <w:lang w:val="en-US"/>
              </w:rPr>
            </w:pPr>
            <w:r w:rsidRPr="006521E0">
              <w:rPr>
                <w:sz w:val="20"/>
                <w:szCs w:val="20"/>
                <w:lang w:val="en-US"/>
              </w:rPr>
              <w:lastRenderedPageBreak/>
              <w:t xml:space="preserve">At H48, 71% (57/ 80) of neonates with </w:t>
            </w:r>
            <w:r w:rsidRPr="006521E0">
              <w:rPr>
                <w:sz w:val="20"/>
                <w:szCs w:val="20"/>
                <w:lang w:val="en-US"/>
              </w:rPr>
              <w:lastRenderedPageBreak/>
              <w:t xml:space="preserve">proved CoNS infection recovered. </w:t>
            </w:r>
          </w:p>
          <w:p w14:paraId="71EEF02B" w14:textId="77777777" w:rsidR="007B14C8" w:rsidRPr="006521E0" w:rsidRDefault="007B14C8" w:rsidP="008D2C98">
            <w:pPr>
              <w:pStyle w:val="NormalWeb"/>
              <w:rPr>
                <w:sz w:val="20"/>
                <w:szCs w:val="20"/>
                <w:lang w:val="en-US"/>
              </w:rPr>
            </w:pPr>
            <w:r w:rsidRPr="006521E0">
              <w:rPr>
                <w:sz w:val="20"/>
                <w:szCs w:val="20"/>
                <w:lang w:val="en-US"/>
              </w:rPr>
              <w:t xml:space="preserve">Bacteriological efficacy was similar with the two dosing levels as 69% (27/39) and 73% (30/41) in groups 1 and 2 (p,0.05), </w:t>
            </w:r>
          </w:p>
          <w:p w14:paraId="768088F2" w14:textId="77777777" w:rsidR="007B14C8" w:rsidRPr="006521E0" w:rsidRDefault="007B14C8" w:rsidP="008D2C98">
            <w:pPr>
              <w:pStyle w:val="NormalWeb"/>
              <w:rPr>
                <w:sz w:val="20"/>
                <w:szCs w:val="20"/>
                <w:lang w:val="en-US"/>
              </w:rPr>
            </w:pPr>
            <w:r w:rsidRPr="006521E0">
              <w:rPr>
                <w:sz w:val="20"/>
                <w:szCs w:val="20"/>
                <w:lang w:val="en-US"/>
              </w:rPr>
              <w:t xml:space="preserve">At H96, blood culture remained positive in only 17% (4/23) of patients. </w:t>
            </w:r>
          </w:p>
          <w:p w14:paraId="3C129856" w14:textId="77777777" w:rsidR="007B14C8" w:rsidRPr="006521E0" w:rsidRDefault="007B14C8" w:rsidP="008D2C98">
            <w:pPr>
              <w:pStyle w:val="NormalWeb"/>
              <w:rPr>
                <w:sz w:val="20"/>
                <w:szCs w:val="20"/>
                <w:lang w:val="en-US"/>
              </w:rPr>
            </w:pPr>
            <w:r w:rsidRPr="006521E0">
              <w:rPr>
                <w:sz w:val="20"/>
                <w:szCs w:val="20"/>
                <w:lang w:val="en-US"/>
              </w:rPr>
              <w:t xml:space="preserve">Finally, 4 days after the onset of antibiotics, negative blood cultures were observed in most cases (76/82, 93%). </w:t>
            </w:r>
          </w:p>
          <w:p w14:paraId="306AEECA" w14:textId="77777777" w:rsidR="007B14C8" w:rsidRPr="006521E0" w:rsidRDefault="007B14C8" w:rsidP="008D2C98">
            <w:pPr>
              <w:pStyle w:val="NormalWeb"/>
              <w:rPr>
                <w:sz w:val="20"/>
                <w:szCs w:val="20"/>
                <w:lang w:val="en-US"/>
              </w:rPr>
            </w:pPr>
          </w:p>
        </w:tc>
        <w:tc>
          <w:tcPr>
            <w:tcW w:w="2835" w:type="dxa"/>
          </w:tcPr>
          <w:p w14:paraId="1157832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lastRenderedPageBreak/>
              <w:t>NA</w:t>
            </w:r>
          </w:p>
        </w:tc>
      </w:tr>
      <w:tr w:rsidR="007B14C8" w:rsidRPr="007048E4" w14:paraId="6B169FF8" w14:textId="77777777" w:rsidTr="008D2C98">
        <w:tc>
          <w:tcPr>
            <w:tcW w:w="1217" w:type="dxa"/>
          </w:tcPr>
          <w:p w14:paraId="3F011BFA"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Oudin et al 2011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{"citationID":"1CwnzmnC","properties":{"formattedCitation":"[4]","plainCitation":"[4]","noteIndex":0},"citationItems":[{"id":1338,"uris":["http://zotero.org/users/local/YdmndyLK/items/8N4I8QBM"],"itemData":{"id":1338,"type":"article-journal","container-title":"Archives of Disease in Childhood - Fetal and Neonatal Edition","DOI":"10.1136/adc.2010.196402","ISSN":"1359-2998, 1468-2052","issue":"5","journalAbbreviation":"Archives of Disease in Childhood - Fetal and Neonatal Edition","language":"en","page":"F365-F370","source":"DOI.org (Crossref)","title":"Vancomycin prescription in neonates and young infants: toward a simplified dosage","title-short":"Vancomycin prescription in neonates and young infants","URL":"https://fn.bmj.com/lookup/doi/10.1136/adc.2010.196402","volume":"96","author":[{"family":"Oudin","given":"C."},{"family":"Vialet","given":"R."},{"family":"Boulamery","given":"A."},{"family":"Martin","given":"C."},{"family":"Simon","given":"N."}],"accessed":{"date-parts":[["2023",9,16]]},"issued":{"date-parts":[["2011",9,1]]}}}],"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[4]</w:t>
            </w:r>
            <w:r w:rsidRPr="006521E0">
              <w:rPr>
                <w:rFonts w:ascii="Times New Roman" w:hAnsi="Times New Roman" w:cs="Times New Roman"/>
                <w:sz w:val="20"/>
                <w:szCs w:val="20"/>
              </w:rPr>
              <w:fldChar w:fldCharType="end"/>
            </w:r>
          </w:p>
        </w:tc>
        <w:tc>
          <w:tcPr>
            <w:tcW w:w="1383" w:type="dxa"/>
          </w:tcPr>
          <w:p w14:paraId="289B2CD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68 neonates</w:t>
            </w:r>
          </w:p>
          <w:p w14:paraId="6414514E" w14:textId="77777777" w:rsidR="007B14C8" w:rsidRPr="006521E0" w:rsidRDefault="007B14C8" w:rsidP="008D2C98">
            <w:pPr>
              <w:pStyle w:val="NormalWeb"/>
              <w:rPr>
                <w:sz w:val="20"/>
                <w:szCs w:val="20"/>
              </w:rPr>
            </w:pPr>
            <w:r w:rsidRPr="006521E0">
              <w:rPr>
                <w:sz w:val="20"/>
                <w:szCs w:val="20"/>
              </w:rPr>
              <w:t>151 serum samples</w:t>
            </w:r>
          </w:p>
          <w:p w14:paraId="7A7FFA52" w14:textId="77777777" w:rsidR="007B14C8" w:rsidRPr="006521E0" w:rsidRDefault="007B14C8" w:rsidP="008D2C98">
            <w:pPr>
              <w:rPr>
                <w:rFonts w:ascii="Times New Roman" w:hAnsi="Times New Roman" w:cs="Times New Roman"/>
                <w:sz w:val="20"/>
                <w:szCs w:val="20"/>
              </w:rPr>
            </w:pPr>
          </w:p>
        </w:tc>
        <w:tc>
          <w:tcPr>
            <w:tcW w:w="3065" w:type="dxa"/>
          </w:tcPr>
          <w:p w14:paraId="1AB30597"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t>Target 10-20 mg/L</w:t>
            </w:r>
          </w:p>
          <w:p w14:paraId="60EA379D" w14:textId="77777777" w:rsidR="007B14C8" w:rsidRPr="006521E0" w:rsidRDefault="007B14C8" w:rsidP="008D2C98">
            <w:pPr>
              <w:rPr>
                <w:rFonts w:ascii="Times New Roman" w:hAnsi="Times New Roman" w:cs="Times New Roman"/>
                <w:sz w:val="20"/>
                <w:szCs w:val="20"/>
              </w:rPr>
            </w:pPr>
          </w:p>
          <w:p w14:paraId="1464600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5.8%</w:t>
            </w:r>
          </w:p>
          <w:p w14:paraId="69C38AE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Therapeutic: 89.2 % Supratherapeutic: 5% </w:t>
            </w:r>
          </w:p>
          <w:p w14:paraId="0DB5CFBD" w14:textId="77777777" w:rsidR="007B14C8" w:rsidRPr="006521E0" w:rsidRDefault="007B14C8" w:rsidP="008D2C98">
            <w:pPr>
              <w:rPr>
                <w:rFonts w:ascii="Times New Roman" w:hAnsi="Times New Roman" w:cs="Times New Roman"/>
                <w:sz w:val="20"/>
                <w:szCs w:val="20"/>
              </w:rPr>
            </w:pPr>
          </w:p>
          <w:p w14:paraId="12EF4221" w14:textId="77777777" w:rsidR="007B14C8" w:rsidRPr="006521E0" w:rsidRDefault="007B14C8" w:rsidP="008D2C98">
            <w:pPr>
              <w:rPr>
                <w:rFonts w:ascii="Times New Roman" w:hAnsi="Times New Roman" w:cs="Times New Roman"/>
                <w:sz w:val="20"/>
                <w:szCs w:val="20"/>
              </w:rPr>
            </w:pPr>
          </w:p>
          <w:p w14:paraId="7FC8B5DD" w14:textId="77777777" w:rsidR="007B14C8" w:rsidRPr="006521E0" w:rsidRDefault="007B14C8" w:rsidP="008D2C98">
            <w:pPr>
              <w:rPr>
                <w:rFonts w:ascii="Times New Roman" w:hAnsi="Times New Roman" w:cs="Times New Roman"/>
                <w:sz w:val="20"/>
                <w:szCs w:val="20"/>
              </w:rPr>
            </w:pPr>
          </w:p>
          <w:p w14:paraId="51F5E33C" w14:textId="77777777" w:rsidR="007B14C8" w:rsidRPr="006521E0" w:rsidRDefault="007B14C8" w:rsidP="008D2C98">
            <w:pPr>
              <w:rPr>
                <w:rFonts w:ascii="Times New Roman" w:hAnsi="Times New Roman" w:cs="Times New Roman"/>
                <w:sz w:val="20"/>
                <w:szCs w:val="20"/>
              </w:rPr>
            </w:pPr>
          </w:p>
        </w:tc>
        <w:tc>
          <w:tcPr>
            <w:tcW w:w="1985" w:type="dxa"/>
          </w:tcPr>
          <w:p w14:paraId="611B49B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NA</w:t>
            </w:r>
          </w:p>
        </w:tc>
        <w:tc>
          <w:tcPr>
            <w:tcW w:w="2835" w:type="dxa"/>
          </w:tcPr>
          <w:p w14:paraId="6EE6DD6B" w14:textId="77777777" w:rsidR="007B14C8" w:rsidRPr="006521E0" w:rsidRDefault="007B14C8" w:rsidP="008D2C98">
            <w:pPr>
              <w:pStyle w:val="NormalWeb"/>
              <w:rPr>
                <w:sz w:val="20"/>
                <w:szCs w:val="20"/>
                <w:lang w:val="en-US"/>
              </w:rPr>
            </w:pPr>
            <w:r w:rsidRPr="006521E0">
              <w:rPr>
                <w:sz w:val="20"/>
                <w:szCs w:val="20"/>
                <w:lang w:val="en-US"/>
              </w:rPr>
              <w:t xml:space="preserve">Serum creatinine variations −7 (20) </w:t>
            </w:r>
            <w:r w:rsidRPr="006521E0">
              <w:rPr>
                <w:sz w:val="20"/>
                <w:szCs w:val="20"/>
                <w:vertAlign w:val="superscript"/>
                <w:lang w:val="en-US"/>
              </w:rPr>
              <w:t>d</w:t>
            </w:r>
            <w:r w:rsidRPr="006521E0">
              <w:rPr>
                <w:sz w:val="20"/>
                <w:szCs w:val="20"/>
                <w:lang w:val="en-US"/>
              </w:rPr>
              <w:t xml:space="preserve"> </w:t>
            </w:r>
            <w:r w:rsidRPr="006521E0">
              <w:rPr>
                <w:sz w:val="20"/>
                <w:szCs w:val="20"/>
              </w:rPr>
              <w:t>μ</w:t>
            </w:r>
            <w:r w:rsidRPr="006521E0">
              <w:rPr>
                <w:sz w:val="20"/>
                <w:szCs w:val="20"/>
                <w:lang w:val="en-US"/>
              </w:rPr>
              <w:t>mol/l and −10 (12)</w:t>
            </w:r>
            <w:r w:rsidRPr="006521E0">
              <w:rPr>
                <w:sz w:val="20"/>
                <w:szCs w:val="20"/>
                <w:vertAlign w:val="superscript"/>
                <w:lang w:val="en-US"/>
              </w:rPr>
              <w:t xml:space="preserve"> d</w:t>
            </w:r>
            <w:r w:rsidRPr="006521E0">
              <w:rPr>
                <w:sz w:val="20"/>
                <w:szCs w:val="20"/>
                <w:lang w:val="en-US"/>
              </w:rPr>
              <w:t xml:space="preserve"> </w:t>
            </w:r>
            <w:r w:rsidRPr="006521E0">
              <w:rPr>
                <w:sz w:val="20"/>
                <w:szCs w:val="20"/>
              </w:rPr>
              <w:t>μ</w:t>
            </w:r>
            <w:r w:rsidRPr="006521E0">
              <w:rPr>
                <w:sz w:val="20"/>
                <w:szCs w:val="20"/>
                <w:lang w:val="en-US"/>
              </w:rPr>
              <w:t>mol/l from the beginning to the end of treatment among patients with 7 or more days of treatment.</w:t>
            </w:r>
          </w:p>
          <w:p w14:paraId="29C95512" w14:textId="77777777" w:rsidR="007B14C8" w:rsidRPr="006521E0" w:rsidRDefault="007B14C8" w:rsidP="008D2C98">
            <w:pPr>
              <w:pStyle w:val="NormalWeb"/>
              <w:rPr>
                <w:sz w:val="20"/>
                <w:szCs w:val="20"/>
                <w:lang w:val="en-US"/>
              </w:rPr>
            </w:pPr>
            <w:r w:rsidRPr="006521E0">
              <w:rPr>
                <w:sz w:val="20"/>
                <w:szCs w:val="20"/>
                <w:lang w:val="en-US"/>
              </w:rPr>
              <w:t>2 patients increase in creatinine concentration at the end of the treatment: septic shock + vancomycine overdose. Recovered after 3 weeks.</w:t>
            </w:r>
          </w:p>
          <w:p w14:paraId="2BD16F7A" w14:textId="77777777" w:rsidR="007B14C8" w:rsidRPr="006521E0" w:rsidRDefault="007B14C8" w:rsidP="008D2C98">
            <w:pPr>
              <w:pStyle w:val="NormalWeb"/>
              <w:rPr>
                <w:sz w:val="20"/>
                <w:szCs w:val="20"/>
                <w:lang w:val="en-US"/>
              </w:rPr>
            </w:pPr>
          </w:p>
          <w:p w14:paraId="1CAE704B" w14:textId="77777777" w:rsidR="007B14C8" w:rsidRPr="006521E0" w:rsidRDefault="007B14C8" w:rsidP="008D2C98">
            <w:pPr>
              <w:rPr>
                <w:rFonts w:ascii="Times New Roman" w:hAnsi="Times New Roman" w:cs="Times New Roman"/>
                <w:sz w:val="20"/>
                <w:szCs w:val="20"/>
              </w:rPr>
            </w:pPr>
          </w:p>
        </w:tc>
      </w:tr>
      <w:tr w:rsidR="007B14C8" w:rsidRPr="007048E4" w14:paraId="4AABA159" w14:textId="77777777" w:rsidTr="008D2C98">
        <w:tc>
          <w:tcPr>
            <w:tcW w:w="1217" w:type="dxa"/>
          </w:tcPr>
          <w:p w14:paraId="5E03EC2C"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lastRenderedPageBreak/>
              <w:t xml:space="preserve">Demirel et al 2015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{"citationID":"sHVyZkli","properties":{"formattedCitation":"[20]","plainCitation":"[20]","noteIndex":0},"citationItems":[{"id":1339,"uris":["http://zotero.org/users/local/YdmndyLK/items/Z7GSLU9J"],"itemData":{"id":1339,"type":"article-journal","container-title":"Journal of Neonatal-Perinatal Medicine","DOI":"10.3233/NPM-15814103","ISSN":"19345798, 18784429","issue":"2","journalAbbreviation":"NPM","page":"149-155","source":"DOI.org (Crossref)","title":"Comparison of intermittent versus continuous vancomycin infusion for the treatment of late-onset sepsis in preterm infants","URL":"https://www.medra.org/servlet/aliasResolver?alias=iospress&amp;doi=10.3233/NPM-15814103","volume":"8","author":[{"family":"Demirel","given":"B."},{"family":"İmamoglu","given":"E."},{"family":"Gursoy","given":"T."},{"family":"Demirel","given":"U."},{"family":"Topçuoglu","given":"S."},{"family":"Karatekin","given":"G."},{"family":"Ovali","given":"F."}],"accessed":{"date-parts":[["2023",9,17]]},"issued":{"date-parts":[["2015",7,31]]}}}],"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[20]</w:t>
            </w:r>
            <w:r w:rsidRPr="006521E0">
              <w:rPr>
                <w:rFonts w:ascii="Times New Roman" w:hAnsi="Times New Roman" w:cs="Times New Roman"/>
                <w:sz w:val="20"/>
                <w:szCs w:val="20"/>
              </w:rPr>
              <w:fldChar w:fldCharType="end"/>
            </w:r>
          </w:p>
        </w:tc>
        <w:tc>
          <w:tcPr>
            <w:tcW w:w="1383" w:type="dxa"/>
          </w:tcPr>
          <w:p w14:paraId="57883038" w14:textId="77777777" w:rsidR="007B14C8" w:rsidRPr="006521E0" w:rsidRDefault="007B14C8" w:rsidP="008D2C98">
            <w:pPr>
              <w:pStyle w:val="NormalWeb"/>
              <w:rPr>
                <w:sz w:val="20"/>
                <w:szCs w:val="20"/>
                <w:lang w:val="en-US"/>
              </w:rPr>
            </w:pPr>
            <w:r w:rsidRPr="006521E0">
              <w:rPr>
                <w:sz w:val="20"/>
                <w:szCs w:val="20"/>
                <w:lang w:val="en-US"/>
              </w:rPr>
              <w:t xml:space="preserve">173 serum sample of 77 preterm neonates </w:t>
            </w:r>
          </w:p>
        </w:tc>
        <w:tc>
          <w:tcPr>
            <w:tcW w:w="3065" w:type="dxa"/>
          </w:tcPr>
          <w:p w14:paraId="1EAEC53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i/>
                <w:iCs/>
                <w:sz w:val="20"/>
                <w:szCs w:val="20"/>
              </w:rPr>
              <w:t>Target 15-20 mg/L</w:t>
            </w:r>
          </w:p>
          <w:p w14:paraId="31CF8B0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At 48h of infusion (p=0.002)</w:t>
            </w:r>
          </w:p>
          <w:p w14:paraId="0215FF37" w14:textId="77777777" w:rsidR="007B14C8" w:rsidRPr="006521E0" w:rsidRDefault="007B14C8" w:rsidP="007B14C8">
            <w:pPr>
              <w:pStyle w:val="Paragraphedeliste"/>
              <w:numPr>
                <w:ilvl w:val="0"/>
                <w:numId w:val="1"/>
              </w:numPr>
              <w:rPr>
                <w:rFonts w:ascii="Times New Roman" w:hAnsi="Times New Roman" w:cs="Times New Roman"/>
                <w:sz w:val="20"/>
                <w:szCs w:val="20"/>
              </w:rPr>
            </w:pPr>
            <w:r w:rsidRPr="006521E0">
              <w:rPr>
                <w:rFonts w:ascii="Times New Roman" w:hAnsi="Times New Roman" w:cs="Times New Roman"/>
                <w:sz w:val="20"/>
                <w:szCs w:val="20"/>
              </w:rPr>
              <w:t>Group I (II):</w:t>
            </w:r>
          </w:p>
          <w:p w14:paraId="20EC88C5"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26.8 % Therapeutic:34.1%</w:t>
            </w:r>
          </w:p>
          <w:p w14:paraId="2D47B25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39 %</w:t>
            </w:r>
          </w:p>
          <w:p w14:paraId="32920DCC" w14:textId="77777777" w:rsidR="007B14C8" w:rsidRPr="006521E0" w:rsidRDefault="007B14C8" w:rsidP="008D2C98">
            <w:pPr>
              <w:rPr>
                <w:rFonts w:ascii="Times New Roman" w:hAnsi="Times New Roman" w:cs="Times New Roman"/>
                <w:sz w:val="20"/>
                <w:szCs w:val="20"/>
              </w:rPr>
            </w:pPr>
          </w:p>
          <w:p w14:paraId="2828228D" w14:textId="77777777" w:rsidR="007B14C8" w:rsidRPr="006521E0" w:rsidRDefault="007B14C8" w:rsidP="007B14C8">
            <w:pPr>
              <w:pStyle w:val="Paragraphedeliste"/>
              <w:numPr>
                <w:ilvl w:val="0"/>
                <w:numId w:val="1"/>
              </w:numPr>
              <w:rPr>
                <w:rFonts w:ascii="Times New Roman" w:hAnsi="Times New Roman" w:cs="Times New Roman"/>
                <w:sz w:val="20"/>
                <w:szCs w:val="20"/>
              </w:rPr>
            </w:pPr>
            <w:r w:rsidRPr="006521E0">
              <w:rPr>
                <w:rFonts w:ascii="Times New Roman" w:hAnsi="Times New Roman" w:cs="Times New Roman"/>
                <w:sz w:val="20"/>
                <w:szCs w:val="20"/>
              </w:rPr>
              <w:t>Group II (CI):</w:t>
            </w:r>
          </w:p>
          <w:p w14:paraId="26C25417"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Subtherapeutic:41.7 %</w:t>
            </w:r>
          </w:p>
          <w:p w14:paraId="0820BA2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Therapeutic: 52.8% Supratherapeutic: 5.6 %</w:t>
            </w:r>
          </w:p>
          <w:p w14:paraId="6A92C5DB" w14:textId="77777777" w:rsidR="007B14C8" w:rsidRPr="006521E0" w:rsidRDefault="007B14C8" w:rsidP="008D2C98">
            <w:pPr>
              <w:rPr>
                <w:rFonts w:ascii="Times New Roman" w:hAnsi="Times New Roman" w:cs="Times New Roman"/>
                <w:sz w:val="20"/>
                <w:szCs w:val="20"/>
              </w:rPr>
            </w:pPr>
          </w:p>
          <w:p w14:paraId="1BBD5247"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At the end of infusion (p=0.09)</w:t>
            </w:r>
          </w:p>
          <w:p w14:paraId="490A40F7" w14:textId="77777777" w:rsidR="007B14C8" w:rsidRPr="006521E0" w:rsidRDefault="007B14C8" w:rsidP="007B14C8">
            <w:pPr>
              <w:pStyle w:val="Paragraphedeliste"/>
              <w:numPr>
                <w:ilvl w:val="0"/>
                <w:numId w:val="1"/>
              </w:numPr>
              <w:rPr>
                <w:rFonts w:ascii="Times New Roman" w:hAnsi="Times New Roman" w:cs="Times New Roman"/>
                <w:sz w:val="20"/>
                <w:szCs w:val="20"/>
              </w:rPr>
            </w:pPr>
            <w:r w:rsidRPr="006521E0">
              <w:rPr>
                <w:rFonts w:ascii="Times New Roman" w:hAnsi="Times New Roman" w:cs="Times New Roman"/>
                <w:sz w:val="20"/>
                <w:szCs w:val="20"/>
              </w:rPr>
              <w:t>Group I (II):</w:t>
            </w:r>
          </w:p>
          <w:p w14:paraId="296B0F0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Subtherapeutic: 7.3 % </w:t>
            </w:r>
          </w:p>
          <w:p w14:paraId="0B2C94CE"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Therapeutic: 78 %</w:t>
            </w:r>
          </w:p>
          <w:p w14:paraId="48554FB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14.6 %</w:t>
            </w:r>
          </w:p>
          <w:p w14:paraId="0BE0181E" w14:textId="77777777" w:rsidR="007B14C8" w:rsidRPr="006521E0" w:rsidRDefault="007B14C8" w:rsidP="008D2C98">
            <w:pPr>
              <w:rPr>
                <w:rFonts w:ascii="Times New Roman" w:hAnsi="Times New Roman" w:cs="Times New Roman"/>
                <w:sz w:val="20"/>
                <w:szCs w:val="20"/>
              </w:rPr>
            </w:pPr>
          </w:p>
          <w:p w14:paraId="2F09FB4F" w14:textId="77777777" w:rsidR="007B14C8" w:rsidRPr="006521E0" w:rsidRDefault="007B14C8" w:rsidP="007B14C8">
            <w:pPr>
              <w:pStyle w:val="Paragraphedeliste"/>
              <w:numPr>
                <w:ilvl w:val="0"/>
                <w:numId w:val="1"/>
              </w:numPr>
              <w:rPr>
                <w:rFonts w:ascii="Times New Roman" w:hAnsi="Times New Roman" w:cs="Times New Roman"/>
                <w:sz w:val="20"/>
                <w:szCs w:val="20"/>
              </w:rPr>
            </w:pPr>
            <w:r w:rsidRPr="006521E0">
              <w:rPr>
                <w:rFonts w:ascii="Times New Roman" w:hAnsi="Times New Roman" w:cs="Times New Roman"/>
                <w:sz w:val="20"/>
                <w:szCs w:val="20"/>
              </w:rPr>
              <w:t>Group II (CI):</w:t>
            </w:r>
          </w:p>
          <w:p w14:paraId="2CFAD95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Subtherapeutic:16.8 %</w:t>
            </w:r>
          </w:p>
          <w:p w14:paraId="2E6FED8A"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Therapeutic: 80.6% Supratherapeutic: 2.8 %</w:t>
            </w:r>
          </w:p>
          <w:p w14:paraId="16F89D4E" w14:textId="77777777" w:rsidR="007B14C8" w:rsidRPr="006521E0" w:rsidRDefault="007B14C8" w:rsidP="008D2C98">
            <w:pPr>
              <w:rPr>
                <w:rFonts w:ascii="Times New Roman" w:hAnsi="Times New Roman" w:cs="Times New Roman"/>
                <w:sz w:val="20"/>
                <w:szCs w:val="20"/>
              </w:rPr>
            </w:pPr>
          </w:p>
          <w:p w14:paraId="5AB76877"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Dose adjustement (n) (p=0.2)</w:t>
            </w:r>
          </w:p>
          <w:p w14:paraId="492F80BC" w14:textId="77777777" w:rsidR="007B14C8" w:rsidRPr="006521E0" w:rsidRDefault="007B14C8" w:rsidP="007B14C8">
            <w:pPr>
              <w:pStyle w:val="Paragraphedeliste"/>
              <w:numPr>
                <w:ilvl w:val="0"/>
                <w:numId w:val="1"/>
              </w:numPr>
              <w:rPr>
                <w:rFonts w:ascii="Times New Roman" w:hAnsi="Times New Roman" w:cs="Times New Roman"/>
                <w:sz w:val="20"/>
                <w:szCs w:val="20"/>
              </w:rPr>
            </w:pPr>
            <w:r w:rsidRPr="006521E0">
              <w:rPr>
                <w:rFonts w:ascii="Times New Roman" w:hAnsi="Times New Roman" w:cs="Times New Roman"/>
                <w:sz w:val="20"/>
                <w:szCs w:val="20"/>
              </w:rPr>
              <w:t>Group I: 27 (65.9%)</w:t>
            </w:r>
          </w:p>
          <w:p w14:paraId="3E6A8E87" w14:textId="77777777" w:rsidR="007B14C8" w:rsidRPr="006521E0" w:rsidRDefault="007B14C8" w:rsidP="007B14C8">
            <w:pPr>
              <w:pStyle w:val="Paragraphedeliste"/>
              <w:numPr>
                <w:ilvl w:val="0"/>
                <w:numId w:val="1"/>
              </w:numPr>
              <w:rPr>
                <w:rFonts w:ascii="Times New Roman" w:hAnsi="Times New Roman" w:cs="Times New Roman"/>
                <w:sz w:val="20"/>
                <w:szCs w:val="20"/>
              </w:rPr>
            </w:pPr>
            <w:r w:rsidRPr="006521E0">
              <w:rPr>
                <w:rFonts w:ascii="Times New Roman" w:hAnsi="Times New Roman" w:cs="Times New Roman"/>
                <w:sz w:val="20"/>
                <w:szCs w:val="20"/>
              </w:rPr>
              <w:t>GroupII: 19 (52.8%)</w:t>
            </w:r>
          </w:p>
          <w:p w14:paraId="18EAAFE8" w14:textId="77777777" w:rsidR="007B14C8" w:rsidRPr="006521E0" w:rsidRDefault="007B14C8" w:rsidP="008D2C98">
            <w:pPr>
              <w:rPr>
                <w:rFonts w:ascii="Times New Roman" w:hAnsi="Times New Roman" w:cs="Times New Roman"/>
                <w:sz w:val="20"/>
                <w:szCs w:val="20"/>
              </w:rPr>
            </w:pPr>
          </w:p>
        </w:tc>
        <w:tc>
          <w:tcPr>
            <w:tcW w:w="1985" w:type="dxa"/>
          </w:tcPr>
          <w:p w14:paraId="7E6B091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No differences between the 2 groups for Töllner score</w:t>
            </w:r>
          </w:p>
          <w:p w14:paraId="6B4948FE" w14:textId="77777777" w:rsidR="007B14C8" w:rsidRPr="006521E0" w:rsidRDefault="007B14C8" w:rsidP="008D2C98">
            <w:pPr>
              <w:rPr>
                <w:rFonts w:ascii="Times New Roman" w:hAnsi="Times New Roman" w:cs="Times New Roman"/>
                <w:sz w:val="20"/>
                <w:szCs w:val="20"/>
              </w:rPr>
            </w:pPr>
          </w:p>
          <w:p w14:paraId="75821F9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Comparison of pathogen microorganisms: all control culture results were negative in the 2 groups </w:t>
            </w:r>
          </w:p>
          <w:p w14:paraId="1C031D01" w14:textId="77777777" w:rsidR="007B14C8" w:rsidRPr="006521E0" w:rsidRDefault="007B14C8" w:rsidP="008D2C98">
            <w:pPr>
              <w:rPr>
                <w:rFonts w:ascii="Times New Roman" w:hAnsi="Times New Roman" w:cs="Times New Roman"/>
                <w:sz w:val="20"/>
                <w:szCs w:val="20"/>
              </w:rPr>
            </w:pPr>
          </w:p>
        </w:tc>
        <w:tc>
          <w:tcPr>
            <w:tcW w:w="2835" w:type="dxa"/>
          </w:tcPr>
          <w:p w14:paraId="3E7C82E9" w14:textId="77777777" w:rsidR="007B14C8" w:rsidRPr="006521E0" w:rsidRDefault="007B14C8" w:rsidP="008D2C98">
            <w:pPr>
              <w:pStyle w:val="NormalWeb"/>
              <w:rPr>
                <w:sz w:val="20"/>
                <w:szCs w:val="20"/>
                <w:lang w:val="en-US"/>
              </w:rPr>
            </w:pPr>
            <w:r w:rsidRPr="006521E0">
              <w:rPr>
                <w:sz w:val="20"/>
                <w:szCs w:val="20"/>
                <w:lang w:val="en-US"/>
              </w:rPr>
              <w:t xml:space="preserve">None of the patients had nephrotoxicity </w:t>
            </w:r>
          </w:p>
          <w:p w14:paraId="49B6EC6D" w14:textId="77777777" w:rsidR="007B14C8" w:rsidRPr="006521E0" w:rsidRDefault="007B14C8" w:rsidP="008D2C98">
            <w:pPr>
              <w:pStyle w:val="NormalWeb"/>
              <w:rPr>
                <w:sz w:val="20"/>
                <w:szCs w:val="20"/>
                <w:lang w:val="en-US"/>
              </w:rPr>
            </w:pPr>
            <w:r w:rsidRPr="006521E0">
              <w:rPr>
                <w:sz w:val="20"/>
                <w:szCs w:val="20"/>
                <w:lang w:val="en-US"/>
              </w:rPr>
              <w:t>Delta Creatinine (</w:t>
            </w:r>
            <w:r w:rsidRPr="006521E0">
              <w:rPr>
                <w:sz w:val="20"/>
                <w:szCs w:val="20"/>
                <w:lang w:val="en-US"/>
              </w:rPr>
              <w:sym w:font="Symbol" w:char="F06D"/>
            </w:r>
            <w:r w:rsidRPr="006521E0">
              <w:rPr>
                <w:sz w:val="20"/>
                <w:szCs w:val="20"/>
                <w:lang w:val="en-US"/>
              </w:rPr>
              <w:t xml:space="preserve">mol/L): </w:t>
            </w:r>
          </w:p>
          <w:p w14:paraId="0998EBE4" w14:textId="77777777" w:rsidR="007B14C8" w:rsidRPr="006521E0" w:rsidRDefault="007B14C8" w:rsidP="008D2C98">
            <w:pPr>
              <w:pStyle w:val="NormalWeb"/>
              <w:rPr>
                <w:sz w:val="20"/>
                <w:szCs w:val="20"/>
                <w:lang w:val="en-US"/>
              </w:rPr>
            </w:pPr>
            <w:r w:rsidRPr="006521E0">
              <w:rPr>
                <w:sz w:val="20"/>
                <w:szCs w:val="20"/>
                <w:lang w:val="en-US"/>
              </w:rPr>
              <w:t xml:space="preserve">group I: –0.1 (–0.3/–0.05) </w:t>
            </w:r>
            <w:r w:rsidRPr="006521E0">
              <w:rPr>
                <w:sz w:val="20"/>
                <w:szCs w:val="20"/>
                <w:vertAlign w:val="superscript"/>
                <w:lang w:val="en-US"/>
              </w:rPr>
              <w:t>c</w:t>
            </w:r>
            <w:r w:rsidRPr="006521E0">
              <w:rPr>
                <w:sz w:val="20"/>
                <w:szCs w:val="20"/>
                <w:lang w:val="en-US"/>
              </w:rPr>
              <w:t xml:space="preserve"> </w:t>
            </w:r>
          </w:p>
          <w:p w14:paraId="4A9E3895" w14:textId="77777777" w:rsidR="007B14C8" w:rsidRPr="006521E0" w:rsidRDefault="007B14C8" w:rsidP="008D2C98">
            <w:pPr>
              <w:pStyle w:val="NormalWeb"/>
              <w:rPr>
                <w:sz w:val="20"/>
                <w:szCs w:val="20"/>
                <w:lang w:val="en-US"/>
              </w:rPr>
            </w:pPr>
            <w:r w:rsidRPr="006521E0">
              <w:rPr>
                <w:sz w:val="20"/>
                <w:szCs w:val="20"/>
                <w:lang w:val="en-US"/>
              </w:rPr>
              <w:t xml:space="preserve">group II: –0.15 (–0.4/–0.05) </w:t>
            </w:r>
            <w:r w:rsidRPr="006521E0">
              <w:rPr>
                <w:sz w:val="20"/>
                <w:szCs w:val="20"/>
                <w:vertAlign w:val="superscript"/>
                <w:lang w:val="en-US"/>
              </w:rPr>
              <w:t>c</w:t>
            </w:r>
            <w:r w:rsidRPr="006521E0">
              <w:rPr>
                <w:sz w:val="20"/>
                <w:szCs w:val="20"/>
                <w:lang w:val="en-US"/>
              </w:rPr>
              <w:t xml:space="preserve"> </w:t>
            </w:r>
          </w:p>
          <w:p w14:paraId="32ED9328" w14:textId="77777777" w:rsidR="007B14C8" w:rsidRPr="006521E0" w:rsidRDefault="007B14C8" w:rsidP="008D2C98">
            <w:pPr>
              <w:pStyle w:val="NormalWeb"/>
              <w:rPr>
                <w:sz w:val="20"/>
                <w:szCs w:val="20"/>
                <w:lang w:val="en-US"/>
              </w:rPr>
            </w:pPr>
          </w:p>
          <w:p w14:paraId="5F333601" w14:textId="77777777" w:rsidR="007B14C8" w:rsidRPr="006521E0" w:rsidRDefault="007B14C8" w:rsidP="008D2C98">
            <w:pPr>
              <w:pStyle w:val="NormalWeb"/>
              <w:rPr>
                <w:sz w:val="20"/>
                <w:szCs w:val="20"/>
                <w:lang w:val="en-US"/>
              </w:rPr>
            </w:pPr>
          </w:p>
        </w:tc>
      </w:tr>
      <w:tr w:rsidR="007B14C8" w:rsidRPr="007048E4" w14:paraId="22AB227B" w14:textId="77777777" w:rsidTr="008D2C98">
        <w:tc>
          <w:tcPr>
            <w:tcW w:w="1217" w:type="dxa"/>
          </w:tcPr>
          <w:p w14:paraId="3559BD2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Pawlotsky et al 1998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{"citationID":"d3cb5Hwy","properties":{"formattedCitation":"[5]","plainCitation":"[5]","noteIndex":0},"citationItems":[{"id":1340,"uris":["http://zotero.org/users/local/YdmndyLK/items/6IJPQKQ2"],"itemData":{"id":1340,"type":"article-journal","abstract":"AIMS: Since vancomycin's bactericidal action has been shown to be time-dependent, a constant rate infusion over 24 h might result in a better bactericidal efficacy. The purpose of this study was to define a new dosage schedule in prematures.\nMETHODS: Two vancomycin 24 h constant rate infusion schedules were tested in two groups of neonates. Postconceptional age (PCA) was 27 to 41 weeks in group 1 (n=24) and 28 to 51.5 weeks in group 2 (n=29). Group 1 neonates received continuous infusion of 10 to 30 mgkg(-1) day(-1), adjusted for PCA and weight. Group 2 was designed to take into account the significant relationship observed in group 1 between vancomycin clearance standardized on weight and PCA and consisted of a constant loading dose of 7 mg kg(-1) followed by continuous infusion of 10 to 40 mg kg(-1) day(-1) adjusted for PCA and weight.\nRESULTS: Mean vancomycin serum concentration at steady state was 11+/-3.1 mg1(-1) in group 1 and 15.4+/-6.2 mg1(-1) in group 2. Fifty-six percent of group 1 values vs 88% of group 2 values were between 10 and 30 mg at steady state (P&lt;0.01). Both regimens were well tolerated.\nCONCLUSIONS: A loading dose of vancomycin followed by constant rate infusion of the appropriate dose adjusted for PCA and weight might improve vancomycin concentrations in neonates.","container-title":"British Journal of Clinical Pharmacology","DOI":"10.1046/j.1365-2125.1998.00763.x","ISSN":"0306-5251","issue":"2","journalAbbreviation":"Br J Clin Pharmacol","language":"eng","note":"PMID: 9723826\nPMCID: PMC1873667","page":"163-167","source":"PubMed","title":"Constant rate infusion of vancomycin in premature neonates: a new dosage schedule","title-short":"Constant rate infusion of vancomycin in premature neonates","volume":"46","author":[{"family":"Pawlotsky","given":"F."},{"family":"Thomas","given":"A."},{"family":"Kergueris","given":"M. F."},{"family":"Debillon","given":"T."},{"family":"Roze","given":"J. C."}],"issued":{"date-parts":[["1998",8]]}}}],"schema":"https://github.com/citation-style-language/schema/raw/master/csl-citation.json"}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[5]</w:t>
            </w:r>
            <w:r w:rsidRPr="006521E0">
              <w:rPr>
                <w:rFonts w:ascii="Times New Roman" w:hAnsi="Times New Roman" w:cs="Times New Roman"/>
                <w:sz w:val="20"/>
                <w:szCs w:val="20"/>
              </w:rPr>
              <w:fldChar w:fldCharType="end"/>
            </w:r>
          </w:p>
        </w:tc>
        <w:tc>
          <w:tcPr>
            <w:tcW w:w="1383" w:type="dxa"/>
          </w:tcPr>
          <w:p w14:paraId="4EB9871C"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53 neonates </w:t>
            </w:r>
          </w:p>
          <w:p w14:paraId="3E811B2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24 in group 1</w:t>
            </w:r>
          </w:p>
          <w:p w14:paraId="79FAB8A5"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29 in group 2</w:t>
            </w:r>
          </w:p>
        </w:tc>
        <w:tc>
          <w:tcPr>
            <w:tcW w:w="3065" w:type="dxa"/>
          </w:tcPr>
          <w:p w14:paraId="228A953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i/>
                <w:iCs/>
                <w:sz w:val="20"/>
                <w:szCs w:val="20"/>
              </w:rPr>
              <w:t>Target 10-30 mg/L</w:t>
            </w:r>
          </w:p>
          <w:p w14:paraId="398B41D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Group 1 % in the target 56%</w:t>
            </w:r>
          </w:p>
          <w:p w14:paraId="2E68927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Group 2 % in the target</w:t>
            </w:r>
            <w:r w:rsidRPr="006521E0" w:rsidDel="00583112">
              <w:rPr>
                <w:rFonts w:ascii="Times New Roman" w:hAnsi="Times New Roman" w:cs="Times New Roman"/>
                <w:sz w:val="20"/>
                <w:szCs w:val="20"/>
              </w:rPr>
              <w:t xml:space="preserve"> </w:t>
            </w:r>
            <w:r w:rsidRPr="006521E0">
              <w:rPr>
                <w:rFonts w:ascii="Times New Roman" w:hAnsi="Times New Roman" w:cs="Times New Roman"/>
                <w:sz w:val="20"/>
                <w:szCs w:val="20"/>
              </w:rPr>
              <w:t>88%</w:t>
            </w:r>
          </w:p>
        </w:tc>
        <w:tc>
          <w:tcPr>
            <w:tcW w:w="1985" w:type="dxa"/>
          </w:tcPr>
          <w:p w14:paraId="7CC6D6A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25.5% had documented sepsis</w:t>
            </w:r>
          </w:p>
          <w:p w14:paraId="7325000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All recovered</w:t>
            </w:r>
          </w:p>
        </w:tc>
        <w:tc>
          <w:tcPr>
            <w:tcW w:w="2835" w:type="dxa"/>
          </w:tcPr>
          <w:p w14:paraId="6D7F246C" w14:textId="77777777" w:rsidR="007B14C8" w:rsidRPr="006521E0" w:rsidRDefault="007B14C8" w:rsidP="008D2C98">
            <w:pPr>
              <w:pStyle w:val="NormalWeb"/>
              <w:rPr>
                <w:sz w:val="20"/>
                <w:szCs w:val="20"/>
                <w:lang w:val="en-US"/>
              </w:rPr>
            </w:pPr>
            <w:r w:rsidRPr="006521E0">
              <w:rPr>
                <w:sz w:val="20"/>
                <w:szCs w:val="20"/>
                <w:lang w:val="en-US"/>
              </w:rPr>
              <w:t>No side effects</w:t>
            </w:r>
          </w:p>
          <w:p w14:paraId="41A52444" w14:textId="77777777" w:rsidR="007B14C8" w:rsidRPr="006521E0" w:rsidRDefault="007B14C8" w:rsidP="008D2C98">
            <w:pPr>
              <w:pStyle w:val="NormalWeb"/>
              <w:rPr>
                <w:sz w:val="20"/>
                <w:szCs w:val="20"/>
                <w:lang w:val="en-US"/>
              </w:rPr>
            </w:pPr>
            <w:r w:rsidRPr="006521E0">
              <w:rPr>
                <w:sz w:val="20"/>
                <w:szCs w:val="20"/>
                <w:lang w:val="en-US"/>
              </w:rPr>
              <w:t xml:space="preserve">No hypotension or red man syndrome </w:t>
            </w:r>
          </w:p>
          <w:p w14:paraId="776D273B" w14:textId="77777777" w:rsidR="007B14C8" w:rsidRPr="006521E0" w:rsidRDefault="007B14C8" w:rsidP="008D2C98">
            <w:pPr>
              <w:pStyle w:val="NormalWeb"/>
              <w:rPr>
                <w:sz w:val="20"/>
                <w:szCs w:val="20"/>
                <w:lang w:val="en-US"/>
              </w:rPr>
            </w:pPr>
            <w:r w:rsidRPr="006521E0">
              <w:rPr>
                <w:sz w:val="20"/>
                <w:szCs w:val="20"/>
                <w:lang w:val="en-US"/>
              </w:rPr>
              <w:lastRenderedPageBreak/>
              <w:t xml:space="preserve">1 case of reversible increase in creatinine during klebsiella sepsis </w:t>
            </w:r>
          </w:p>
          <w:p w14:paraId="3186FD2B" w14:textId="77777777" w:rsidR="007B14C8" w:rsidRPr="006521E0" w:rsidRDefault="007B14C8" w:rsidP="008D2C98">
            <w:pPr>
              <w:pStyle w:val="NormalWeb"/>
              <w:rPr>
                <w:sz w:val="20"/>
                <w:szCs w:val="20"/>
                <w:lang w:val="en-US"/>
              </w:rPr>
            </w:pPr>
          </w:p>
        </w:tc>
      </w:tr>
      <w:tr w:rsidR="007B14C8" w:rsidRPr="007048E4" w14:paraId="22430A44" w14:textId="77777777" w:rsidTr="008D2C98">
        <w:tc>
          <w:tcPr>
            <w:tcW w:w="1217" w:type="dxa"/>
          </w:tcPr>
          <w:p w14:paraId="1A56839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lastRenderedPageBreak/>
              <w:t xml:space="preserve">Gomez et al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{"citationID":"LCZTlsYM","properties":{"formattedCitation":"[23]","plainCitation":"[23]","noteIndex":0},"citationItems":[{"id":731,"uris":["http://zotero.org/users/local/YdmndyLK/items/YAWXQIBD"],"itemData":{"id":731,"type":"article-journal","abstract":"Vancomycin dosing used in neonates results frequently in insufficient concentrations. A vancomycin dose-optimization protocol consisting of an individualization of loading and maintenance doses (administered during continuous infusion) through a previously validated pharmacokinetic model was implemented in our center. This monocenter retrospective study aimed to compare vancomycin average concentration (Cavg) in the therapeutic range (15 to 25 mg/L) and biological and clinical parameters before and after implementation of this protocol. A total of 60 and 59 courses of vancomycin treatment in 45 and 49 patients were analyzed in groups before and after implementation, respectively. Initial vancomycin Cavg were more frequently in the therapeutic range in the group after implementation (74.6% versus 28.3%, P &lt; 0.001), with 1.6-fold higher Cavg (20.3 [17.0-22.2] mg/L versus 12.9 [11.3-17.0] mg/L, P &lt; 0.001). Considering all Cavg during longitudinal therapeutic drug monitoring (TDM), the frequency of therapeutic Cavg was higher in the group after implementation (74.8% [n = 103] versus 31% [n = 116], P &lt; 0.001). The dose optimization protocol was also associated with a reduced time to obtain a negative blood culture (P &lt; 0.001) and fewer antibiotic switches (P = 0.025), without increasing the frequency of nephrotoxicity. Clinical outcomes also appeared to be improved, with less periventricular leukomalacia (P = 0.021), trended toward less respiratory instability (P = 0.15) and a shorter duration of vasoactive drug use (P = 0.18) for neonates receiving personalized doses of vancomycin. This personalized vancomycin dose protocol improves vancomycin exposure in neonates, with good safety, and suggests an improvement in biological and clinical outcomes.","container-title":"Antimicrobial Agents and Chemotherapy","DOI":"10.1128/aac.02191-21","ISSN":"1098-6596","issue":"5","journalAbbreviation":"Antimicrob Agents Chemother","language":"eng","note":"PMID: 35465728\nPMCID: PMC9112885","page":"e0219121","source":"PubMed","title":"Implementation of a Vancomycin Dose-Optimization Protocol in Neonates: Impact on Vancomycin Exposure, Biological Parameters, and Clinical Outcomes","title-short":"Implementation of a Vancomycin Dose-Optimization Protocol in Neonates","volume":"66","author":[{"family":"Gomez","given":"Laura"},{"family":"Boegler","given":"Diane"},{"family":"Epiard","given":"Chloé"},{"family":"Alin","given":"Layli"},{"family":"Arata-Bardet","given":"Julie"},{"family":"Caspar","given":"Yvan"},{"family":"Debillon","given":"Thierry"},{"family":"Stanke-Labesque","given":"Françoise"},{"family":"Gautier-Veyret","given":"Elodie"}],"issued":{"date-parts":[["2022",5,17]]}}}],"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[23]</w:t>
            </w:r>
            <w:r w:rsidRPr="006521E0">
              <w:rPr>
                <w:rFonts w:ascii="Times New Roman" w:hAnsi="Times New Roman" w:cs="Times New Roman"/>
                <w:sz w:val="20"/>
                <w:szCs w:val="20"/>
              </w:rPr>
              <w:fldChar w:fldCharType="end"/>
            </w:r>
          </w:p>
        </w:tc>
        <w:tc>
          <w:tcPr>
            <w:tcW w:w="1383" w:type="dxa"/>
          </w:tcPr>
          <w:p w14:paraId="040295C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Before: 45 neonates, 60 serum samples</w:t>
            </w:r>
          </w:p>
          <w:p w14:paraId="7238413D" w14:textId="77777777" w:rsidR="007B14C8" w:rsidRPr="006521E0" w:rsidRDefault="007B14C8" w:rsidP="008D2C98">
            <w:pPr>
              <w:rPr>
                <w:rFonts w:ascii="Times New Roman" w:hAnsi="Times New Roman" w:cs="Times New Roman"/>
                <w:sz w:val="20"/>
                <w:szCs w:val="20"/>
              </w:rPr>
            </w:pPr>
          </w:p>
          <w:p w14:paraId="732BB479"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After: 49 neonates, 59 serum samples</w:t>
            </w:r>
          </w:p>
          <w:p w14:paraId="6EB774C6" w14:textId="77777777" w:rsidR="007B14C8" w:rsidRPr="006521E0" w:rsidRDefault="007B14C8" w:rsidP="008D2C98">
            <w:pPr>
              <w:rPr>
                <w:rFonts w:ascii="Times New Roman" w:hAnsi="Times New Roman" w:cs="Times New Roman"/>
                <w:sz w:val="20"/>
                <w:szCs w:val="20"/>
              </w:rPr>
            </w:pPr>
          </w:p>
        </w:tc>
        <w:tc>
          <w:tcPr>
            <w:tcW w:w="3065" w:type="dxa"/>
          </w:tcPr>
          <w:p w14:paraId="0F07C2A6"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t>Target 15-25 mg/L</w:t>
            </w:r>
          </w:p>
          <w:p w14:paraId="37C31161" w14:textId="77777777" w:rsidR="007B14C8" w:rsidRPr="006521E0" w:rsidRDefault="007B14C8" w:rsidP="008D2C98">
            <w:pPr>
              <w:rPr>
                <w:rFonts w:ascii="Times New Roman" w:hAnsi="Times New Roman" w:cs="Times New Roman"/>
                <w:sz w:val="20"/>
                <w:szCs w:val="20"/>
              </w:rPr>
            </w:pPr>
          </w:p>
          <w:p w14:paraId="517E7D1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Initial exposure:  </w:t>
            </w:r>
          </w:p>
          <w:p w14:paraId="7C92E1A7" w14:textId="77777777" w:rsidR="007B14C8" w:rsidRPr="006521E0" w:rsidRDefault="007B14C8" w:rsidP="008D2C98">
            <w:pPr>
              <w:rPr>
                <w:rFonts w:ascii="Times New Roman" w:hAnsi="Times New Roman" w:cs="Times New Roman"/>
                <w:sz w:val="20"/>
                <w:szCs w:val="20"/>
              </w:rPr>
            </w:pPr>
          </w:p>
          <w:p w14:paraId="29E7CA3E" w14:textId="77777777" w:rsidR="007B14C8" w:rsidRPr="006521E0" w:rsidRDefault="007B14C8" w:rsidP="007B14C8">
            <w:pPr>
              <w:pStyle w:val="Paragraphedeliste"/>
              <w:numPr>
                <w:ilvl w:val="0"/>
                <w:numId w:val="2"/>
              </w:numPr>
              <w:rPr>
                <w:rFonts w:ascii="Times New Roman" w:hAnsi="Times New Roman" w:cs="Times New Roman"/>
                <w:sz w:val="20"/>
                <w:szCs w:val="20"/>
              </w:rPr>
            </w:pPr>
            <w:r w:rsidRPr="006521E0">
              <w:rPr>
                <w:rFonts w:ascii="Times New Roman" w:hAnsi="Times New Roman" w:cs="Times New Roman"/>
                <w:sz w:val="20"/>
                <w:szCs w:val="20"/>
              </w:rPr>
              <w:t xml:space="preserve">Before: </w:t>
            </w:r>
          </w:p>
          <w:p w14:paraId="3C4668B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68.3 % Therapeutic:28.3%</w:t>
            </w:r>
          </w:p>
          <w:p w14:paraId="742B22AB"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3.3 %</w:t>
            </w:r>
          </w:p>
          <w:p w14:paraId="35DDE831" w14:textId="77777777" w:rsidR="007B14C8" w:rsidRPr="006521E0" w:rsidRDefault="007B14C8" w:rsidP="007B14C8">
            <w:pPr>
              <w:pStyle w:val="Paragraphedeliste"/>
              <w:numPr>
                <w:ilvl w:val="0"/>
                <w:numId w:val="2"/>
              </w:numPr>
              <w:rPr>
                <w:rFonts w:ascii="Times New Roman" w:hAnsi="Times New Roman" w:cs="Times New Roman"/>
                <w:sz w:val="20"/>
                <w:szCs w:val="20"/>
              </w:rPr>
            </w:pPr>
            <w:r w:rsidRPr="006521E0">
              <w:rPr>
                <w:rFonts w:ascii="Times New Roman" w:hAnsi="Times New Roman" w:cs="Times New Roman"/>
                <w:sz w:val="20"/>
                <w:szCs w:val="20"/>
              </w:rPr>
              <w:t xml:space="preserve">After: </w:t>
            </w:r>
          </w:p>
          <w:p w14:paraId="1D217333"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10.2 % Therapeutic:74.6%</w:t>
            </w:r>
          </w:p>
          <w:p w14:paraId="274D256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15.3 %</w:t>
            </w:r>
          </w:p>
          <w:p w14:paraId="559F900B" w14:textId="77777777" w:rsidR="007B14C8" w:rsidRPr="006521E0" w:rsidRDefault="007B14C8" w:rsidP="008D2C98">
            <w:pPr>
              <w:rPr>
                <w:rFonts w:ascii="Times New Roman" w:hAnsi="Times New Roman" w:cs="Times New Roman"/>
                <w:sz w:val="20"/>
                <w:szCs w:val="20"/>
              </w:rPr>
            </w:pPr>
          </w:p>
          <w:p w14:paraId="6565CA5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All exposure:  </w:t>
            </w:r>
          </w:p>
          <w:p w14:paraId="0D113FDC" w14:textId="77777777" w:rsidR="007B14C8" w:rsidRPr="006521E0" w:rsidRDefault="007B14C8" w:rsidP="008D2C98">
            <w:pPr>
              <w:rPr>
                <w:rFonts w:ascii="Times New Roman" w:hAnsi="Times New Roman" w:cs="Times New Roman"/>
                <w:sz w:val="20"/>
                <w:szCs w:val="20"/>
              </w:rPr>
            </w:pPr>
          </w:p>
          <w:p w14:paraId="69CB87E0" w14:textId="77777777" w:rsidR="007B14C8" w:rsidRPr="006521E0" w:rsidRDefault="007B14C8" w:rsidP="007B14C8">
            <w:pPr>
              <w:pStyle w:val="Paragraphedeliste"/>
              <w:numPr>
                <w:ilvl w:val="0"/>
                <w:numId w:val="2"/>
              </w:numPr>
              <w:rPr>
                <w:rFonts w:ascii="Times New Roman" w:hAnsi="Times New Roman" w:cs="Times New Roman"/>
                <w:sz w:val="20"/>
                <w:szCs w:val="20"/>
              </w:rPr>
            </w:pPr>
            <w:r w:rsidRPr="006521E0">
              <w:rPr>
                <w:rFonts w:ascii="Times New Roman" w:hAnsi="Times New Roman" w:cs="Times New Roman"/>
                <w:sz w:val="20"/>
                <w:szCs w:val="20"/>
              </w:rPr>
              <w:t xml:space="preserve">Before </w:t>
            </w:r>
          </w:p>
          <w:p w14:paraId="40289BFA"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67.2 % Therapeutic:31%</w:t>
            </w:r>
          </w:p>
          <w:p w14:paraId="70F4AC7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1.7 %</w:t>
            </w:r>
          </w:p>
          <w:p w14:paraId="758971F3" w14:textId="77777777" w:rsidR="007B14C8" w:rsidRPr="006521E0" w:rsidRDefault="007B14C8" w:rsidP="008D2C98">
            <w:pPr>
              <w:rPr>
                <w:rFonts w:ascii="Times New Roman" w:hAnsi="Times New Roman" w:cs="Times New Roman"/>
                <w:sz w:val="20"/>
                <w:szCs w:val="20"/>
              </w:rPr>
            </w:pPr>
          </w:p>
          <w:p w14:paraId="34E568F2" w14:textId="77777777" w:rsidR="007B14C8" w:rsidRPr="006521E0" w:rsidRDefault="007B14C8" w:rsidP="007B14C8">
            <w:pPr>
              <w:pStyle w:val="Paragraphedeliste"/>
              <w:numPr>
                <w:ilvl w:val="0"/>
                <w:numId w:val="2"/>
              </w:numPr>
              <w:rPr>
                <w:rFonts w:ascii="Times New Roman" w:hAnsi="Times New Roman" w:cs="Times New Roman"/>
                <w:sz w:val="20"/>
                <w:szCs w:val="20"/>
              </w:rPr>
            </w:pPr>
            <w:r w:rsidRPr="006521E0">
              <w:rPr>
                <w:rFonts w:ascii="Times New Roman" w:hAnsi="Times New Roman" w:cs="Times New Roman"/>
                <w:sz w:val="20"/>
                <w:szCs w:val="20"/>
              </w:rPr>
              <w:t xml:space="preserve">After: </w:t>
            </w:r>
          </w:p>
          <w:p w14:paraId="5FF7D485"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12.6 % Therapeutic:74.8%</w:t>
            </w:r>
          </w:p>
          <w:p w14:paraId="41A0CC8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 12.6 %</w:t>
            </w:r>
          </w:p>
          <w:p w14:paraId="50D34B8E" w14:textId="77777777" w:rsidR="007B14C8" w:rsidRPr="006521E0" w:rsidRDefault="007B14C8" w:rsidP="008D2C98">
            <w:pPr>
              <w:rPr>
                <w:rFonts w:ascii="Times New Roman" w:hAnsi="Times New Roman" w:cs="Times New Roman"/>
                <w:sz w:val="20"/>
                <w:szCs w:val="20"/>
              </w:rPr>
            </w:pPr>
          </w:p>
        </w:tc>
        <w:tc>
          <w:tcPr>
            <w:tcW w:w="1985" w:type="dxa"/>
          </w:tcPr>
          <w:p w14:paraId="550671BC"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Time to blood culture negativation: (p&lt;0.001)</w:t>
            </w:r>
          </w:p>
          <w:p w14:paraId="73460964" w14:textId="77777777" w:rsidR="007B14C8" w:rsidRPr="006521E0" w:rsidRDefault="007B14C8" w:rsidP="008D2C98">
            <w:pPr>
              <w:pStyle w:val="NormalWeb"/>
              <w:rPr>
                <w:sz w:val="20"/>
                <w:szCs w:val="20"/>
                <w:lang w:val="en-US"/>
              </w:rPr>
            </w:pPr>
            <w:r w:rsidRPr="006521E0">
              <w:rPr>
                <w:sz w:val="20"/>
                <w:szCs w:val="20"/>
                <w:lang w:val="en-US"/>
              </w:rPr>
              <w:t>Group before:</w:t>
            </w:r>
          </w:p>
          <w:p w14:paraId="60E34833" w14:textId="77777777" w:rsidR="007B14C8" w:rsidRPr="006521E0" w:rsidRDefault="007B14C8" w:rsidP="008D2C98">
            <w:pPr>
              <w:pStyle w:val="NormalWeb"/>
              <w:rPr>
                <w:sz w:val="20"/>
                <w:szCs w:val="20"/>
                <w:lang w:val="en-US"/>
              </w:rPr>
            </w:pPr>
            <w:r w:rsidRPr="006521E0">
              <w:rPr>
                <w:sz w:val="20"/>
                <w:szCs w:val="20"/>
                <w:lang w:val="en-US"/>
              </w:rPr>
              <w:t xml:space="preserve">54.6 h (48.9–107) </w:t>
            </w:r>
            <w:r w:rsidRPr="006521E0">
              <w:rPr>
                <w:sz w:val="20"/>
                <w:szCs w:val="20"/>
                <w:vertAlign w:val="superscript"/>
                <w:lang w:val="en-US"/>
              </w:rPr>
              <w:t>b</w:t>
            </w:r>
            <w:r w:rsidRPr="006521E0">
              <w:rPr>
                <w:sz w:val="20"/>
                <w:szCs w:val="20"/>
                <w:lang w:val="en-US"/>
              </w:rPr>
              <w:t xml:space="preserve"> (n = 31) </w:t>
            </w:r>
          </w:p>
          <w:p w14:paraId="0A55A492" w14:textId="77777777" w:rsidR="007B14C8" w:rsidRPr="006521E0" w:rsidRDefault="007B14C8" w:rsidP="008D2C98">
            <w:pPr>
              <w:pStyle w:val="NormalWeb"/>
              <w:rPr>
                <w:sz w:val="20"/>
                <w:szCs w:val="20"/>
                <w:lang w:val="en-US"/>
              </w:rPr>
            </w:pPr>
            <w:r w:rsidRPr="006521E0">
              <w:rPr>
                <w:sz w:val="20"/>
                <w:szCs w:val="20"/>
                <w:lang w:val="en-US"/>
              </w:rPr>
              <w:t>Group after:</w:t>
            </w:r>
          </w:p>
          <w:p w14:paraId="129738ED" w14:textId="77777777" w:rsidR="007B14C8" w:rsidRPr="006521E0" w:rsidRDefault="007B14C8" w:rsidP="008D2C98">
            <w:pPr>
              <w:pStyle w:val="NormalWeb"/>
              <w:rPr>
                <w:sz w:val="20"/>
                <w:szCs w:val="20"/>
                <w:lang w:val="en-US"/>
              </w:rPr>
            </w:pPr>
            <w:r w:rsidRPr="006521E0">
              <w:rPr>
                <w:sz w:val="20"/>
                <w:szCs w:val="20"/>
                <w:lang w:val="en-US"/>
              </w:rPr>
              <w:t>37.5 h (28.1–53.6)</w:t>
            </w:r>
            <w:r w:rsidRPr="006521E0">
              <w:rPr>
                <w:sz w:val="20"/>
                <w:szCs w:val="20"/>
                <w:vertAlign w:val="superscript"/>
                <w:lang w:val="en-US"/>
              </w:rPr>
              <w:t xml:space="preserve"> b</w:t>
            </w:r>
            <w:r w:rsidRPr="006521E0">
              <w:rPr>
                <w:sz w:val="20"/>
                <w:szCs w:val="20"/>
                <w:lang w:val="en-US"/>
              </w:rPr>
              <w:t xml:space="preserve"> (n = 22) </w:t>
            </w:r>
          </w:p>
          <w:p w14:paraId="4E6FA54D" w14:textId="77777777" w:rsidR="007B14C8" w:rsidRPr="006521E0" w:rsidRDefault="007B14C8" w:rsidP="008D2C98">
            <w:pPr>
              <w:pStyle w:val="NormalWeb"/>
              <w:rPr>
                <w:sz w:val="20"/>
                <w:szCs w:val="20"/>
                <w:lang w:val="en-US"/>
              </w:rPr>
            </w:pPr>
            <w:r w:rsidRPr="006521E0">
              <w:rPr>
                <w:sz w:val="20"/>
                <w:szCs w:val="20"/>
                <w:lang w:val="en-US"/>
              </w:rPr>
              <w:t>Differences concerning leukomalacia: (p=0.021)</w:t>
            </w:r>
          </w:p>
          <w:p w14:paraId="2C256692" w14:textId="77777777" w:rsidR="007B14C8" w:rsidRPr="006521E0" w:rsidRDefault="007B14C8" w:rsidP="008D2C98">
            <w:pPr>
              <w:pStyle w:val="NormalWeb"/>
              <w:rPr>
                <w:sz w:val="20"/>
                <w:szCs w:val="20"/>
                <w:lang w:val="en-US"/>
              </w:rPr>
            </w:pPr>
            <w:r w:rsidRPr="006521E0">
              <w:rPr>
                <w:sz w:val="20"/>
                <w:szCs w:val="20"/>
                <w:lang w:val="en-US"/>
              </w:rPr>
              <w:t xml:space="preserve">group before: 22.6% </w:t>
            </w:r>
          </w:p>
          <w:p w14:paraId="31DCC296" w14:textId="77777777" w:rsidR="007B14C8" w:rsidRPr="006521E0" w:rsidRDefault="007B14C8" w:rsidP="008D2C98">
            <w:pPr>
              <w:pStyle w:val="NormalWeb"/>
              <w:rPr>
                <w:sz w:val="20"/>
                <w:szCs w:val="20"/>
                <w:lang w:val="en-US"/>
              </w:rPr>
            </w:pPr>
            <w:r w:rsidRPr="006521E0">
              <w:rPr>
                <w:sz w:val="20"/>
                <w:szCs w:val="20"/>
                <w:lang w:val="en-US"/>
              </w:rPr>
              <w:t xml:space="preserve">group after: 2.9 % </w:t>
            </w:r>
          </w:p>
          <w:p w14:paraId="7D21BC45" w14:textId="77777777" w:rsidR="007B14C8" w:rsidRPr="006521E0" w:rsidRDefault="007B14C8" w:rsidP="008D2C98">
            <w:pPr>
              <w:pStyle w:val="NormalWeb"/>
              <w:rPr>
                <w:sz w:val="20"/>
                <w:szCs w:val="20"/>
                <w:lang w:val="en-US"/>
              </w:rPr>
            </w:pPr>
            <w:r w:rsidRPr="006521E0">
              <w:rPr>
                <w:sz w:val="20"/>
                <w:szCs w:val="20"/>
                <w:lang w:val="en-US"/>
              </w:rPr>
              <w:t>No differences between the 2 groups for: Relapse,</w:t>
            </w:r>
            <w:r w:rsidRPr="006521E0">
              <w:rPr>
                <w:sz w:val="20"/>
                <w:szCs w:val="20"/>
                <w:lang w:val="en-US"/>
              </w:rPr>
              <w:br/>
              <w:t xml:space="preserve">Decrease of inflammatory syndrome, increased respiratory support, Duration of vasoactive drugs use , </w:t>
            </w:r>
            <w:r w:rsidRPr="006521E0">
              <w:rPr>
                <w:sz w:val="20"/>
                <w:szCs w:val="20"/>
                <w:lang w:val="en-US"/>
              </w:rPr>
              <w:lastRenderedPageBreak/>
              <w:t xml:space="preserve">Catheter removal, Severe bronchopulmonary dysplasia , Total duration of hospitalization </w:t>
            </w:r>
          </w:p>
          <w:p w14:paraId="1240A3B9" w14:textId="77777777" w:rsidR="007B14C8" w:rsidRPr="006521E0" w:rsidRDefault="007B14C8" w:rsidP="008D2C98">
            <w:pPr>
              <w:rPr>
                <w:rFonts w:ascii="Times New Roman" w:hAnsi="Times New Roman" w:cs="Times New Roman"/>
                <w:sz w:val="20"/>
                <w:szCs w:val="20"/>
              </w:rPr>
            </w:pPr>
          </w:p>
        </w:tc>
        <w:tc>
          <w:tcPr>
            <w:tcW w:w="2835" w:type="dxa"/>
          </w:tcPr>
          <w:p w14:paraId="54D59F09" w14:textId="77777777" w:rsidR="007B14C8" w:rsidRPr="006521E0" w:rsidRDefault="007B14C8" w:rsidP="008D2C98">
            <w:pPr>
              <w:pStyle w:val="NormalWeb"/>
              <w:rPr>
                <w:sz w:val="20"/>
                <w:szCs w:val="20"/>
                <w:lang w:val="en-US"/>
              </w:rPr>
            </w:pPr>
            <w:r w:rsidRPr="006521E0">
              <w:rPr>
                <w:sz w:val="20"/>
                <w:szCs w:val="20"/>
                <w:lang w:val="en-US"/>
              </w:rPr>
              <w:lastRenderedPageBreak/>
              <w:t xml:space="preserve">Only one patient showed nephrotoxicity in the before group, and two in the after group (not significant) </w:t>
            </w:r>
          </w:p>
        </w:tc>
      </w:tr>
      <w:tr w:rsidR="007B14C8" w:rsidRPr="007048E4" w14:paraId="2DB94908" w14:textId="77777777" w:rsidTr="008D2C98">
        <w:tc>
          <w:tcPr>
            <w:tcW w:w="1217" w:type="dxa"/>
          </w:tcPr>
          <w:p w14:paraId="00ED9F0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Kim et al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{"citationID":"glQSyI6R","properties":{"formattedCitation":"[14]","plainCitation":"[14]","noteIndex":0},"citationItems":[{"id":1346,"uris":["http://zotero.org/users/local/YdmndyLK/items/2KYDF2V2"],"itemData":{"id":1346,"type":"article-journal","abstract":"Variability in neonatal vancomycin pharmacokinetics and the lack of consensus for optimal trough concentrations in neonatal intensive care units pose challenges to dosing vancomycin in neonates. Our objective was to determine vancomycin pharmacokinetics in neonates and evaluate dosing regimens to identify whether practical initial recommendations that targeted trough concentrations most commonly used in neonatal intensive care units could be determined. Fifty neonates who received vancomycin with at least one set of steady-state levels were evaluated retrospectively. Mean pharmacokinetic values were determined using first-order pharmacokinetic equations, and Monte Carlo simulation was used to evaluate initial dosing recommendations for target trough concentrations of 15 to 20 mg/liter, 5 to 20 mg/liter, and ≤20 mg/liter. Monte Carlo simulation revealed that dosing by mg/kg of body weight was optimal where intermittent dosing of 9 to 12 mg/kg intravenously (i.v.) every 8 h (q8h) had the highest probability of attaining a target trough concentration of 15 to 20 mg/liter. However, continuous infusion with a loading dose of 10 mg/kg followed by 25 to 30 mg/kg per day infused over 24 h had the best overall probability of target attainment. Initial intermittent dosing of 9 to 15 mg/kg i.v. q12h was optimal for target trough concentrations of 5 to 20 mg/liter and ≤20 mg/liter. In conclusion, we determined that the practical initial vancomycin dose of 10 mg/kg vancomycin i.v. q12h was optimal for vancomycin trough concentrations of either 5 to 20 mg/liter or ≤20 mg/liter and that the same initial dose q8h was optimal for target trough concentrations of 15 to 20 mg/liter. However, due to large interpatient vancomycin pharmacokinetic variability in neonates, monitoring of serum concentrations is recommended when trough concentrations between 15 and 20 mg/liter or 5 and 20 mg/liter are desired.","container-title":"Antimicrobial Agents and Chemotherapy","DOI":"10.1128/AAC.01718-13","ISSN":"1098-6596","issue":"5","journalAbbreviation":"Antimicrob Agents Chemother","language":"eng","note":"PMID: 24614381\nPMCID: PMC3993213","page":"2830-2840","source":"PubMed","title":"Determination of vancomycin pharmacokinetics in neonates to develop practical initial dosing recommendations","volume":"58","author":[{"family":"Kim","given":"Julianne"},{"family":"Walker","given":"Sandra A. N."},{"family":"Iaboni","given":"Dolores C."},{"family":"Walker","given":"Scott E."},{"family":"Elligsen","given":"Marion"},{"family":"Dunn","given":"Michael S."},{"family":"Allen","given":"Vanessa G."},{"family":"Simor","given":"Andrew"}],"issued":{"date-parts":[["2014",5]]}}}],"schema":"https://github.com/citation-style-language/schema/raw/master/csl-citation.json"}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[14]</w:t>
            </w:r>
            <w:r w:rsidRPr="006521E0">
              <w:rPr>
                <w:rFonts w:ascii="Times New Roman" w:hAnsi="Times New Roman" w:cs="Times New Roman"/>
                <w:sz w:val="20"/>
                <w:szCs w:val="20"/>
              </w:rPr>
              <w:fldChar w:fldCharType="end"/>
            </w:r>
          </w:p>
        </w:tc>
        <w:tc>
          <w:tcPr>
            <w:tcW w:w="1383" w:type="dxa"/>
          </w:tcPr>
          <w:p w14:paraId="36FBB973"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50 neonates</w:t>
            </w:r>
          </w:p>
          <w:p w14:paraId="720630B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58 serum samples</w:t>
            </w:r>
          </w:p>
        </w:tc>
        <w:tc>
          <w:tcPr>
            <w:tcW w:w="3065" w:type="dxa"/>
          </w:tcPr>
          <w:p w14:paraId="7286D947"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CI highest probability (28 to 32% of patients) of attaining Css (15 - 20 mg/l) with: loading dose = 10 mg/kg followed by a maintenance dose = 25 to 30 mg/kg/24 h</w:t>
            </w:r>
          </w:p>
          <w:p w14:paraId="3A4A770C" w14:textId="77777777" w:rsidR="007B14C8" w:rsidRPr="006521E0" w:rsidRDefault="007B14C8" w:rsidP="008D2C98">
            <w:pPr>
              <w:rPr>
                <w:rFonts w:ascii="Times New Roman" w:hAnsi="Times New Roman" w:cs="Times New Roman"/>
                <w:sz w:val="20"/>
                <w:szCs w:val="20"/>
              </w:rPr>
            </w:pPr>
          </w:p>
          <w:p w14:paraId="55C5E3B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Nomogram proposed depending on the targeted concentration.</w:t>
            </w:r>
          </w:p>
          <w:p w14:paraId="23BEEECE" w14:textId="77777777" w:rsidR="007B14C8" w:rsidRPr="006521E0" w:rsidRDefault="007B14C8" w:rsidP="008D2C98">
            <w:pPr>
              <w:rPr>
                <w:rFonts w:ascii="Times New Roman" w:hAnsi="Times New Roman" w:cs="Times New Roman"/>
                <w:sz w:val="20"/>
                <w:szCs w:val="20"/>
              </w:rPr>
            </w:pPr>
          </w:p>
        </w:tc>
        <w:tc>
          <w:tcPr>
            <w:tcW w:w="1985" w:type="dxa"/>
          </w:tcPr>
          <w:p w14:paraId="6EDC1532" w14:textId="77777777" w:rsidR="007B14C8" w:rsidRPr="006521E0" w:rsidRDefault="007B14C8" w:rsidP="008D2C98">
            <w:pPr>
              <w:pStyle w:val="NormalWeb"/>
              <w:rPr>
                <w:sz w:val="20"/>
                <w:szCs w:val="20"/>
                <w:lang w:val="en-US"/>
              </w:rPr>
            </w:pPr>
            <w:r w:rsidRPr="006521E0">
              <w:rPr>
                <w:sz w:val="20"/>
                <w:szCs w:val="20"/>
                <w:lang w:val="en-US"/>
              </w:rPr>
              <w:t>NA</w:t>
            </w:r>
          </w:p>
        </w:tc>
        <w:tc>
          <w:tcPr>
            <w:tcW w:w="2835" w:type="dxa"/>
          </w:tcPr>
          <w:p w14:paraId="0C26207E" w14:textId="77777777" w:rsidR="007B14C8" w:rsidRPr="006521E0" w:rsidRDefault="007B14C8" w:rsidP="008D2C98">
            <w:pPr>
              <w:pStyle w:val="NormalWeb"/>
              <w:rPr>
                <w:sz w:val="20"/>
                <w:szCs w:val="20"/>
                <w:lang w:val="en-US"/>
              </w:rPr>
            </w:pPr>
            <w:r w:rsidRPr="006521E0">
              <w:rPr>
                <w:sz w:val="20"/>
                <w:szCs w:val="20"/>
                <w:lang w:val="en-US"/>
              </w:rPr>
              <w:t>NA</w:t>
            </w:r>
          </w:p>
        </w:tc>
      </w:tr>
      <w:tr w:rsidR="007B14C8" w:rsidRPr="007048E4" w14:paraId="124BA598" w14:textId="77777777" w:rsidTr="008D2C98">
        <w:tc>
          <w:tcPr>
            <w:tcW w:w="1217" w:type="dxa"/>
          </w:tcPr>
          <w:p w14:paraId="383387C8"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Gwee et al 2019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{"citationID":"lsxC8pZI","properties":{"formattedCitation":"[10]","plainCitation":"[10]","noteIndex":0},"citationItems":[{"id":555,"uris":["http://zotero.org/users/local/YdmndyLK/items/H8CZ94TE"],"itemData":{"id":555,"type":"article-journal","abstract":"BACKGROUND: In adults, continuous infusions of vancomycin (CIV) are associated with earlier attainment of target drug concentrations, require fewer blood samples for monitoring, and may reduce drug toxicity. We aimed to determine, in young infants, if CIV or intermittent infusions of vancomycin (IIV) better achieves target vancomycin concentrations at the first steady-state level and to compare the frequency of drug-related adverse effects.\nMETHODS: In a multicenter randomized controlled trial in 2 tertiary neonatal units over a 40-month period, young infants aged 0 to 90 days requiring vancomycin therapy for at least 48 hours were randomly assigned to CIV and IIV.\nRESULTS: Of 111 infants randomized, 104 were included in the intention-to-treat analysis. Baseline characteristics were similar for both groups. The proportion of infants achieving target concentrations at the first steady-state level was higher for CIV compared with IIV (45 in 53 [85%] vs 21 in 51 [41%]; P &lt; .001). Fewer dose adjustments were required in the CIV group (median 0; range 0-1) compared with the IIV group (median 1; range 0-3; P &lt; .001). The mean daily dose required to achieve target concentrations was lower with CIV compared with IIV (40.6 [SD 10.7] vs 60.6 [SD 53.0] mg/kg per day, respectively; P = .01). No drug-related adverse effects occurred in either group.\nCONCLUSIONS: In young infants, CIV is associated with earlier and improved attainment of target concentrations compared with IIV. Lower total daily doses are required to achieve target levels with CIV. There is no difference in the rate of drug-related adverse effects.","container-title":"Pediatrics","DOI":"10.1542/peds.2018-2179","ISSN":"1098-4275","issue":"2","journalAbbreviation":"Pediatrics","language":"eng","note":"PMID: 30700564","page":"e20182179","source":"PubMed","title":"Continuous Versus Intermittent Vancomycin Infusions in Infants: A Randomized Controlled Trial","title-short":"Continuous Versus Intermittent Vancomycin Infusions in Infants","volume":"143","author":[{"family":"Gwee","given":"Amanda"},{"family":"Cranswick","given":"Noel"},{"family":"McMullan","given":"Brendan"},{"family":"Perkins","given":"Elizabeth"},{"family":"Bolisetty","given":"Srinivas"},{"family":"Gardiner","given":"Kaya"},{"family":"Daley","given":"Andrew"},{"family":"Ward","given":"Meredith"},{"family":"Chiletti","given":"Roberto"},{"family":"Donath","given":"Susan"},{"family":"Hunt","given":"Rodney"},{"family":"Curtis","given":"Nigel"}],"issued":{"date-parts":[["2019",2]]}}}],"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[10]</w:t>
            </w:r>
            <w:r w:rsidRPr="006521E0">
              <w:rPr>
                <w:rFonts w:ascii="Times New Roman" w:hAnsi="Times New Roman" w:cs="Times New Roman"/>
                <w:sz w:val="20"/>
                <w:szCs w:val="20"/>
              </w:rPr>
              <w:fldChar w:fldCharType="end"/>
            </w:r>
          </w:p>
        </w:tc>
        <w:tc>
          <w:tcPr>
            <w:tcW w:w="1383" w:type="dxa"/>
          </w:tcPr>
          <w:p w14:paraId="2BECCF43"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111 neonates </w:t>
            </w:r>
          </w:p>
        </w:tc>
        <w:tc>
          <w:tcPr>
            <w:tcW w:w="3065" w:type="dxa"/>
          </w:tcPr>
          <w:p w14:paraId="36D7FB62"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t>Target 15-25 mg/L</w:t>
            </w:r>
          </w:p>
          <w:p w14:paraId="16D3A15E" w14:textId="77777777" w:rsidR="007B14C8" w:rsidRPr="006521E0" w:rsidRDefault="007B14C8" w:rsidP="008D2C98">
            <w:pPr>
              <w:rPr>
                <w:rFonts w:ascii="Times New Roman" w:hAnsi="Times New Roman" w:cs="Times New Roman"/>
                <w:sz w:val="20"/>
                <w:szCs w:val="20"/>
              </w:rPr>
            </w:pPr>
          </w:p>
          <w:p w14:paraId="4FE2408E"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II: % in the target 41%</w:t>
            </w:r>
          </w:p>
          <w:p w14:paraId="35D36446"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09BA9F5C"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GA 36-44 w: 44%</w:t>
            </w:r>
          </w:p>
          <w:p w14:paraId="57803C4D"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GA 29-35 w: 42%</w:t>
            </w:r>
          </w:p>
          <w:p w14:paraId="6D96326F"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GA &lt;29 w: 20%</w:t>
            </w:r>
          </w:p>
          <w:p w14:paraId="3619ABB5"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11DD217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CI % in the target 85%</w:t>
            </w:r>
          </w:p>
          <w:p w14:paraId="6B5881A1"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3D71E351"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 xml:space="preserve">Creat &lt; 40 </w:t>
            </w:r>
            <w:r w:rsidRPr="006521E0">
              <w:rPr>
                <w:rFonts w:ascii="Times New Roman" w:hAnsi="Times New Roman" w:cs="Times New Roman"/>
                <w:sz w:val="20"/>
                <w:szCs w:val="20"/>
              </w:rPr>
              <w:sym w:font="Symbol" w:char="F06D"/>
            </w:r>
            <w:r w:rsidRPr="006521E0">
              <w:rPr>
                <w:rFonts w:ascii="Times New Roman" w:hAnsi="Times New Roman" w:cs="Times New Roman"/>
                <w:sz w:val="20"/>
                <w:szCs w:val="20"/>
              </w:rPr>
              <w:t>mol/L = 80%</w:t>
            </w:r>
          </w:p>
          <w:p w14:paraId="552A6E92"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57E0B034"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Creat &lt; 40</w:t>
            </w:r>
            <w:r w:rsidRPr="006521E0">
              <w:rPr>
                <w:rFonts w:ascii="Times New Roman" w:hAnsi="Times New Roman" w:cs="Times New Roman"/>
                <w:sz w:val="20"/>
                <w:szCs w:val="20"/>
              </w:rPr>
              <w:sym w:font="Symbol" w:char="F06D"/>
            </w:r>
            <w:r w:rsidRPr="006521E0">
              <w:rPr>
                <w:rFonts w:ascii="Times New Roman" w:hAnsi="Times New Roman" w:cs="Times New Roman"/>
                <w:sz w:val="20"/>
                <w:szCs w:val="20"/>
              </w:rPr>
              <w:t>mol/L + GA &gt;=40 w = 80%</w:t>
            </w:r>
          </w:p>
          <w:p w14:paraId="61D49A93"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343AD185"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 xml:space="preserve">Creat &gt; 60 </w:t>
            </w:r>
            <w:r w:rsidRPr="006521E0">
              <w:rPr>
                <w:rFonts w:ascii="Times New Roman" w:hAnsi="Times New Roman" w:cs="Times New Roman"/>
                <w:sz w:val="20"/>
                <w:szCs w:val="20"/>
              </w:rPr>
              <w:sym w:font="Symbol" w:char="F06D"/>
            </w:r>
            <w:r w:rsidRPr="006521E0">
              <w:rPr>
                <w:rFonts w:ascii="Times New Roman" w:hAnsi="Times New Roman" w:cs="Times New Roman"/>
                <w:sz w:val="20"/>
                <w:szCs w:val="20"/>
              </w:rPr>
              <w:t>mol = 100%</w:t>
            </w:r>
          </w:p>
          <w:p w14:paraId="4F84A62B"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2EE7AB12"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 xml:space="preserve">40&lt;Creat &lt;60 </w:t>
            </w:r>
            <w:r w:rsidRPr="006521E0">
              <w:rPr>
                <w:rFonts w:ascii="Times New Roman" w:hAnsi="Times New Roman" w:cs="Times New Roman"/>
                <w:sz w:val="20"/>
                <w:szCs w:val="20"/>
              </w:rPr>
              <w:sym w:font="Symbol" w:char="F06D"/>
            </w:r>
            <w:r w:rsidRPr="006521E0">
              <w:rPr>
                <w:rFonts w:ascii="Times New Roman" w:hAnsi="Times New Roman" w:cs="Times New Roman"/>
                <w:sz w:val="20"/>
                <w:szCs w:val="20"/>
              </w:rPr>
              <w:t xml:space="preserve">mol = 100% </w:t>
            </w:r>
          </w:p>
          <w:p w14:paraId="089A9727"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2DA55CD4" w14:textId="77777777" w:rsidR="007B14C8" w:rsidRPr="006521E0" w:rsidRDefault="007B14C8" w:rsidP="007B14C8">
            <w:pPr>
              <w:pStyle w:val="Paragraphedeliste"/>
              <w:framePr w:hSpace="141" w:wrap="around" w:vAnchor="text" w:hAnchor="text" w:y="1"/>
              <w:numPr>
                <w:ilvl w:val="0"/>
                <w:numId w:val="2"/>
              </w:numPr>
              <w:suppressOverlap/>
              <w:rPr>
                <w:rFonts w:ascii="Times New Roman" w:hAnsi="Times New Roman" w:cs="Times New Roman"/>
                <w:sz w:val="20"/>
                <w:szCs w:val="20"/>
              </w:rPr>
            </w:pPr>
            <w:r w:rsidRPr="006521E0">
              <w:rPr>
                <w:rFonts w:ascii="Times New Roman" w:hAnsi="Times New Roman" w:cs="Times New Roman"/>
                <w:sz w:val="20"/>
                <w:szCs w:val="20"/>
              </w:rPr>
              <w:t>Time to achieve target (p=0.003)</w:t>
            </w:r>
          </w:p>
          <w:p w14:paraId="3BE70A8E"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lastRenderedPageBreak/>
              <w:t xml:space="preserve">II:33.6 h (38.8) </w:t>
            </w:r>
            <w:r w:rsidRPr="006521E0">
              <w:rPr>
                <w:rFonts w:ascii="Times New Roman" w:hAnsi="Times New Roman" w:cs="Times New Roman"/>
                <w:sz w:val="20"/>
                <w:szCs w:val="20"/>
                <w:vertAlign w:val="superscript"/>
              </w:rPr>
              <w:t xml:space="preserve"> c</w:t>
            </w:r>
            <w:r w:rsidRPr="006521E0">
              <w:rPr>
                <w:rFonts w:ascii="Times New Roman" w:hAnsi="Times New Roman" w:cs="Times New Roman"/>
                <w:sz w:val="20"/>
                <w:szCs w:val="20"/>
              </w:rPr>
              <w:t xml:space="preserve"> </w:t>
            </w:r>
          </w:p>
          <w:p w14:paraId="298CC5C0"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 xml:space="preserve">CI 27.1h (10.8) </w:t>
            </w:r>
            <w:r w:rsidRPr="006521E0">
              <w:rPr>
                <w:rFonts w:ascii="Times New Roman" w:hAnsi="Times New Roman" w:cs="Times New Roman"/>
                <w:sz w:val="20"/>
                <w:szCs w:val="20"/>
                <w:vertAlign w:val="superscript"/>
              </w:rPr>
              <w:t>c</w:t>
            </w:r>
            <w:r w:rsidRPr="006521E0">
              <w:rPr>
                <w:rFonts w:ascii="Times New Roman" w:hAnsi="Times New Roman" w:cs="Times New Roman"/>
                <w:sz w:val="20"/>
                <w:szCs w:val="20"/>
              </w:rPr>
              <w:t xml:space="preserve">  </w:t>
            </w:r>
          </w:p>
          <w:p w14:paraId="188B1A43"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p>
          <w:p w14:paraId="2B7B4911" w14:textId="77777777" w:rsidR="007B14C8" w:rsidRPr="006521E0" w:rsidRDefault="007B14C8" w:rsidP="007B14C8">
            <w:pPr>
              <w:pStyle w:val="Paragraphedeliste"/>
              <w:framePr w:hSpace="141" w:wrap="around" w:vAnchor="text" w:hAnchor="text" w:y="1"/>
              <w:numPr>
                <w:ilvl w:val="0"/>
                <w:numId w:val="2"/>
              </w:numPr>
              <w:suppressOverlap/>
              <w:rPr>
                <w:rFonts w:ascii="Times New Roman" w:hAnsi="Times New Roman" w:cs="Times New Roman"/>
                <w:sz w:val="20"/>
                <w:szCs w:val="20"/>
              </w:rPr>
            </w:pPr>
            <w:r w:rsidRPr="006521E0">
              <w:rPr>
                <w:rFonts w:ascii="Times New Roman" w:hAnsi="Times New Roman" w:cs="Times New Roman"/>
                <w:sz w:val="20"/>
                <w:szCs w:val="20"/>
              </w:rPr>
              <w:t>Number of dose adjustments (p=0.001)</w:t>
            </w:r>
          </w:p>
          <w:p w14:paraId="33AEEB04"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 xml:space="preserve">II1 (0-3) </w:t>
            </w:r>
            <w:r w:rsidRPr="006521E0">
              <w:rPr>
                <w:rFonts w:ascii="Times New Roman" w:hAnsi="Times New Roman" w:cs="Times New Roman"/>
                <w:sz w:val="20"/>
                <w:szCs w:val="20"/>
                <w:vertAlign w:val="superscript"/>
              </w:rPr>
              <w:t>c</w:t>
            </w:r>
          </w:p>
          <w:p w14:paraId="587ACA20" w14:textId="77777777" w:rsidR="007B14C8" w:rsidRPr="006521E0" w:rsidRDefault="007B14C8" w:rsidP="008D2C98">
            <w:pPr>
              <w:framePr w:hSpace="141" w:wrap="around" w:vAnchor="text" w:hAnchor="text" w:y="1"/>
              <w:suppressOverlap/>
              <w:rPr>
                <w:rFonts w:ascii="Times New Roman" w:hAnsi="Times New Roman" w:cs="Times New Roman"/>
                <w:sz w:val="20"/>
                <w:szCs w:val="20"/>
              </w:rPr>
            </w:pPr>
            <w:r w:rsidRPr="006521E0">
              <w:rPr>
                <w:rFonts w:ascii="Times New Roman" w:hAnsi="Times New Roman" w:cs="Times New Roman"/>
                <w:sz w:val="20"/>
                <w:szCs w:val="20"/>
              </w:rPr>
              <w:t>CI 0 (0-1)</w:t>
            </w:r>
            <w:r w:rsidRPr="006521E0">
              <w:rPr>
                <w:rFonts w:ascii="Times New Roman" w:hAnsi="Times New Roman" w:cs="Times New Roman"/>
                <w:sz w:val="20"/>
                <w:szCs w:val="20"/>
                <w:vertAlign w:val="superscript"/>
              </w:rPr>
              <w:t xml:space="preserve"> c</w:t>
            </w:r>
          </w:p>
          <w:p w14:paraId="79A90703" w14:textId="77777777" w:rsidR="007B14C8" w:rsidRPr="006521E0" w:rsidRDefault="007B14C8" w:rsidP="008D2C98">
            <w:pPr>
              <w:rPr>
                <w:rFonts w:ascii="Times New Roman" w:hAnsi="Times New Roman" w:cs="Times New Roman"/>
                <w:sz w:val="20"/>
                <w:szCs w:val="20"/>
              </w:rPr>
            </w:pPr>
          </w:p>
        </w:tc>
        <w:tc>
          <w:tcPr>
            <w:tcW w:w="1985" w:type="dxa"/>
          </w:tcPr>
          <w:p w14:paraId="647EF2AD" w14:textId="77777777" w:rsidR="007B14C8" w:rsidRPr="006521E0" w:rsidRDefault="007B14C8" w:rsidP="008D2C98">
            <w:pPr>
              <w:pStyle w:val="NormalWeb"/>
              <w:rPr>
                <w:sz w:val="20"/>
                <w:szCs w:val="20"/>
                <w:lang w:val="en-US"/>
              </w:rPr>
            </w:pPr>
            <w:r w:rsidRPr="006521E0">
              <w:rPr>
                <w:sz w:val="20"/>
                <w:szCs w:val="20"/>
                <w:lang w:val="en-US"/>
              </w:rPr>
              <w:lastRenderedPageBreak/>
              <w:t>Times to the clearance of bacteremia: (P = .62)</w:t>
            </w:r>
          </w:p>
          <w:p w14:paraId="7530C8F6" w14:textId="77777777" w:rsidR="007B14C8" w:rsidRPr="006521E0" w:rsidRDefault="007B14C8" w:rsidP="008D2C98">
            <w:pPr>
              <w:pStyle w:val="NormalWeb"/>
              <w:rPr>
                <w:sz w:val="20"/>
                <w:szCs w:val="20"/>
                <w:lang w:val="en-US"/>
              </w:rPr>
            </w:pPr>
            <w:r w:rsidRPr="006521E0">
              <w:rPr>
                <w:sz w:val="20"/>
                <w:szCs w:val="20"/>
                <w:lang w:val="en-US"/>
              </w:rPr>
              <w:t xml:space="preserve">II: 55.3 h (14.9) </w:t>
            </w:r>
            <w:r w:rsidRPr="006521E0">
              <w:rPr>
                <w:sz w:val="20"/>
                <w:szCs w:val="20"/>
                <w:vertAlign w:val="superscript"/>
                <w:lang w:val="en-US"/>
              </w:rPr>
              <w:t>d</w:t>
            </w:r>
            <w:r w:rsidRPr="006521E0">
              <w:rPr>
                <w:sz w:val="20"/>
                <w:szCs w:val="20"/>
                <w:lang w:val="en-US"/>
              </w:rPr>
              <w:t xml:space="preserve"> CI 46.1 h (10.3) </w:t>
            </w:r>
            <w:r w:rsidRPr="006521E0">
              <w:rPr>
                <w:sz w:val="20"/>
                <w:szCs w:val="20"/>
                <w:vertAlign w:val="superscript"/>
                <w:lang w:val="en-US"/>
              </w:rPr>
              <w:t>d</w:t>
            </w:r>
            <w:r w:rsidRPr="006521E0">
              <w:rPr>
                <w:sz w:val="20"/>
                <w:szCs w:val="20"/>
                <w:lang w:val="en-US"/>
              </w:rPr>
              <w:t xml:space="preserve"> </w:t>
            </w:r>
          </w:p>
          <w:p w14:paraId="6B9A77B5" w14:textId="77777777" w:rsidR="007B14C8" w:rsidRPr="006521E0" w:rsidRDefault="007B14C8" w:rsidP="008D2C98">
            <w:pPr>
              <w:rPr>
                <w:rFonts w:ascii="Times New Roman" w:hAnsi="Times New Roman" w:cs="Times New Roman"/>
                <w:sz w:val="20"/>
                <w:szCs w:val="20"/>
              </w:rPr>
            </w:pPr>
          </w:p>
        </w:tc>
        <w:tc>
          <w:tcPr>
            <w:tcW w:w="2835" w:type="dxa"/>
          </w:tcPr>
          <w:p w14:paraId="1FEF3BCA" w14:textId="77777777" w:rsidR="007B14C8" w:rsidRPr="006521E0" w:rsidRDefault="007B14C8" w:rsidP="008D2C98">
            <w:pPr>
              <w:pStyle w:val="NormalWeb"/>
              <w:rPr>
                <w:sz w:val="20"/>
                <w:szCs w:val="20"/>
                <w:lang w:val="en-US"/>
              </w:rPr>
            </w:pPr>
            <w:r w:rsidRPr="006521E0">
              <w:rPr>
                <w:sz w:val="20"/>
                <w:szCs w:val="20"/>
                <w:lang w:val="en-US"/>
              </w:rPr>
              <w:t>no increase in</w:t>
            </w:r>
            <w:r w:rsidRPr="006521E0">
              <w:rPr>
                <w:sz w:val="20"/>
                <w:szCs w:val="20"/>
                <w:lang w:val="en-US"/>
              </w:rPr>
              <w:br/>
              <w:t xml:space="preserve">the creatinine levels at the end compared to the start of therapy in the II group (35.4–31.2 </w:t>
            </w:r>
            <w:r w:rsidRPr="006521E0">
              <w:rPr>
                <w:sz w:val="20"/>
                <w:szCs w:val="20"/>
              </w:rPr>
              <w:t>μ</w:t>
            </w:r>
            <w:r w:rsidRPr="006521E0">
              <w:rPr>
                <w:sz w:val="20"/>
                <w:szCs w:val="20"/>
                <w:lang w:val="en-US"/>
              </w:rPr>
              <w:t xml:space="preserve">mol/L; SD 19.6–16.2 </w:t>
            </w:r>
            <w:r w:rsidRPr="006521E0">
              <w:rPr>
                <w:sz w:val="20"/>
                <w:szCs w:val="20"/>
              </w:rPr>
              <w:t>μ</w:t>
            </w:r>
            <w:r w:rsidRPr="006521E0">
              <w:rPr>
                <w:sz w:val="20"/>
                <w:szCs w:val="20"/>
                <w:lang w:val="en-US"/>
              </w:rPr>
              <w:t xml:space="preserve">mol/L; P = .01) or in the CI group (29.3–28.1 </w:t>
            </w:r>
            <w:r w:rsidRPr="006521E0">
              <w:rPr>
                <w:sz w:val="20"/>
                <w:szCs w:val="20"/>
              </w:rPr>
              <w:t>μ</w:t>
            </w:r>
            <w:r w:rsidRPr="006521E0">
              <w:rPr>
                <w:sz w:val="20"/>
                <w:szCs w:val="20"/>
                <w:lang w:val="en-US"/>
              </w:rPr>
              <w:t xml:space="preserve">mol/L; SD 12.1–10.7 </w:t>
            </w:r>
            <w:r w:rsidRPr="006521E0">
              <w:rPr>
                <w:sz w:val="20"/>
                <w:szCs w:val="20"/>
              </w:rPr>
              <w:t>μ</w:t>
            </w:r>
            <w:r w:rsidRPr="006521E0">
              <w:rPr>
                <w:sz w:val="20"/>
                <w:szCs w:val="20"/>
                <w:lang w:val="en-US"/>
              </w:rPr>
              <w:t xml:space="preserve">mol/L; P = .50). </w:t>
            </w:r>
          </w:p>
          <w:p w14:paraId="37D5708D" w14:textId="77777777" w:rsidR="007B14C8" w:rsidRPr="006521E0" w:rsidRDefault="007B14C8" w:rsidP="008D2C98">
            <w:pPr>
              <w:pStyle w:val="NormalWeb"/>
              <w:rPr>
                <w:sz w:val="20"/>
                <w:szCs w:val="20"/>
                <w:lang w:val="en-US"/>
              </w:rPr>
            </w:pPr>
          </w:p>
        </w:tc>
      </w:tr>
      <w:tr w:rsidR="007B14C8" w:rsidRPr="007048E4" w14:paraId="667E2657" w14:textId="77777777" w:rsidTr="008D2C98">
        <w:tc>
          <w:tcPr>
            <w:tcW w:w="1217" w:type="dxa"/>
          </w:tcPr>
          <w:p w14:paraId="7B1C7FEC"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Leroux et al 2016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{"citationID":"7lRhgbH9","properties":{"formattedCitation":"[11]","plainCitation":"[11]","noteIndex":0},"citationItems":[{"id":602,"uris":["http://zotero.org/users/local/YdmndyLK/items/XFLC3RNC"],"itemData":{"id":602,"type":"article-journal","abstract":"ABSTRACT\n            Pharmacokinetic modeling has often been applied to evaluate vancomycin pharmacokinetics in neonates. However, clinical application of the model-based personalized vancomycin therapy is still limited. The objective of the present study was to evaluate the clinical utility and safety of a model-based patient-tailored dose of vancomycin in neonates. A model-based vancomycin dosing calculator, developed from a population pharmacokinetic study, has been integrated into the routine clinical care in 3 neonatal intensive care units (Robert Debré, Cochin Port Royal, and Clocheville hospitals) between 2012 and 2014. The target attainment rate, defined as the percentage of patients with a first therapeutic drug monitoring serum vancomycin concentration achieving the target window of 15 to 25 mg/liter, was selected as an endpoint for evaluating the clinical utility. The safety evaluation was focused on nephrotoxicity. The clinical application of the model-based patient-tailored dose of vancomycin has been demonstrated in 190 neonates. The mean (standard deviation) gestational and postnatal ages of the study population were 31.1 (4.9) weeks and 16.7 (21.7) days, respectively. The target attainment rate increased from 41% to 72% without any case of vancomycin-related nephrotoxicity. This proof-of-concept study provides evidence for integrating model-based antimicrobial therapy in neonatal routine care.","container-title":"Antimicrobial Agents and Chemotherapy","DOI":"10.1128/AAC.02214-15","ISSN":"0066-4804, 1098-6596","issue":"4","journalAbbreviation":"Antimicrob Agents Chemother","language":"en","page":"2039-2042","source":"DOI.org (Crossref)","title":"Clinical Utility and Safety of a Model-Based Patient-Tailored Dose of Vancomycin in Neonates","URL":"https://journals.asm.org/doi/10.1128/AAC.02214-15","volume":"60","author":[{"family":"Leroux","given":"Stéphanie"},{"family":"Jacqz-Aigrain","given":"Evelyne"},{"family":"Biran","given":"Valérie"},{"family":"Lopez","given":"Emmanuel"},{"family":"Madeleneau","given":"Doriane"},{"family":"Wallon","given":"Camille"},{"family":"Zana-Taïeb","given":"Elodie"},{"family":"Virlouvet","given":"Anne-Laure"},{"family":"Rioualen","given":"Stéphane"},{"family":"Zhao","given":"Wei"}],"accessed":{"date-parts":[["2021",12,13]]},"issued":{"date-parts":[["2016",4]]}}}],"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[11]</w:t>
            </w:r>
            <w:r w:rsidRPr="006521E0">
              <w:rPr>
                <w:rFonts w:ascii="Times New Roman" w:hAnsi="Times New Roman" w:cs="Times New Roman"/>
                <w:sz w:val="20"/>
                <w:szCs w:val="20"/>
              </w:rPr>
              <w:fldChar w:fldCharType="end"/>
            </w:r>
          </w:p>
        </w:tc>
        <w:tc>
          <w:tcPr>
            <w:tcW w:w="1383" w:type="dxa"/>
          </w:tcPr>
          <w:p w14:paraId="0F647A6C"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190 neonates</w:t>
            </w:r>
          </w:p>
        </w:tc>
        <w:tc>
          <w:tcPr>
            <w:tcW w:w="3065" w:type="dxa"/>
          </w:tcPr>
          <w:p w14:paraId="1CB9341D"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t>Target 15-25 mg/L</w:t>
            </w:r>
          </w:p>
          <w:p w14:paraId="0810FCD4" w14:textId="77777777" w:rsidR="007B14C8" w:rsidRPr="006521E0" w:rsidRDefault="007B14C8" w:rsidP="008D2C98">
            <w:pPr>
              <w:rPr>
                <w:rFonts w:ascii="Times New Roman" w:hAnsi="Times New Roman" w:cs="Times New Roman"/>
                <w:sz w:val="20"/>
                <w:szCs w:val="20"/>
              </w:rPr>
            </w:pPr>
          </w:p>
          <w:p w14:paraId="0EBFFEA6"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in the target</w:t>
            </w:r>
            <w:r w:rsidRPr="006521E0" w:rsidDel="0038460F">
              <w:rPr>
                <w:rFonts w:ascii="Times New Roman" w:hAnsi="Times New Roman" w:cs="Times New Roman"/>
                <w:sz w:val="20"/>
                <w:szCs w:val="20"/>
              </w:rPr>
              <w:t xml:space="preserve"> </w:t>
            </w:r>
            <w:r w:rsidRPr="006521E0">
              <w:rPr>
                <w:rFonts w:ascii="Times New Roman" w:hAnsi="Times New Roman" w:cs="Times New Roman"/>
                <w:sz w:val="20"/>
                <w:szCs w:val="20"/>
              </w:rPr>
              <w:t>72%</w:t>
            </w:r>
          </w:p>
          <w:p w14:paraId="7698F188" w14:textId="77777777" w:rsidR="007B14C8" w:rsidRPr="006521E0" w:rsidRDefault="007B14C8" w:rsidP="008D2C98">
            <w:pPr>
              <w:rPr>
                <w:rFonts w:ascii="Times New Roman" w:hAnsi="Times New Roman" w:cs="Times New Roman"/>
                <w:sz w:val="20"/>
                <w:szCs w:val="20"/>
              </w:rPr>
            </w:pPr>
          </w:p>
          <w:p w14:paraId="6476D65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&lt;10 mg/L: 3.1 % </w:t>
            </w:r>
          </w:p>
          <w:p w14:paraId="3E09525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&gt;30 mg/L: 6.3 %</w:t>
            </w:r>
          </w:p>
          <w:p w14:paraId="06A7ECA8" w14:textId="77777777" w:rsidR="007B14C8" w:rsidRPr="006521E0" w:rsidRDefault="007B14C8" w:rsidP="008D2C98">
            <w:pPr>
              <w:rPr>
                <w:rFonts w:ascii="Times New Roman" w:hAnsi="Times New Roman" w:cs="Times New Roman"/>
                <w:sz w:val="20"/>
                <w:szCs w:val="20"/>
              </w:rPr>
            </w:pPr>
          </w:p>
          <w:p w14:paraId="732EACD7" w14:textId="77777777" w:rsidR="007B14C8" w:rsidRPr="006521E0" w:rsidRDefault="007B14C8" w:rsidP="008D2C98">
            <w:pPr>
              <w:rPr>
                <w:rFonts w:ascii="Times New Roman" w:hAnsi="Times New Roman" w:cs="Times New Roman"/>
                <w:sz w:val="20"/>
                <w:szCs w:val="20"/>
              </w:rPr>
            </w:pPr>
          </w:p>
        </w:tc>
        <w:tc>
          <w:tcPr>
            <w:tcW w:w="1985" w:type="dxa"/>
          </w:tcPr>
          <w:p w14:paraId="60A99CB4" w14:textId="77777777" w:rsidR="007B14C8" w:rsidRPr="006521E0" w:rsidRDefault="007B14C8" w:rsidP="008D2C98">
            <w:pPr>
              <w:pStyle w:val="NormalWeb"/>
              <w:rPr>
                <w:sz w:val="20"/>
                <w:szCs w:val="20"/>
                <w:lang w:val="en-US"/>
              </w:rPr>
            </w:pPr>
            <w:r w:rsidRPr="006521E0">
              <w:rPr>
                <w:sz w:val="20"/>
                <w:szCs w:val="20"/>
                <w:lang w:val="en-US"/>
              </w:rPr>
              <w:t>NA</w:t>
            </w:r>
          </w:p>
        </w:tc>
        <w:tc>
          <w:tcPr>
            <w:tcW w:w="2835" w:type="dxa"/>
          </w:tcPr>
          <w:p w14:paraId="65ED951B" w14:textId="77777777" w:rsidR="007B14C8" w:rsidRPr="006521E0" w:rsidRDefault="007B14C8" w:rsidP="008D2C98">
            <w:pPr>
              <w:pStyle w:val="NormalWeb"/>
              <w:rPr>
                <w:sz w:val="20"/>
                <w:szCs w:val="20"/>
                <w:lang w:val="en-US"/>
              </w:rPr>
            </w:pPr>
            <w:r w:rsidRPr="006521E0">
              <w:rPr>
                <w:sz w:val="20"/>
                <w:szCs w:val="20"/>
                <w:lang w:val="en-US"/>
              </w:rPr>
              <w:t xml:space="preserve">2 patients had nephrotoxicity </w:t>
            </w:r>
          </w:p>
        </w:tc>
      </w:tr>
      <w:tr w:rsidR="007B14C8" w:rsidRPr="007048E4" w14:paraId="3C5F9E01" w14:textId="77777777" w:rsidTr="008D2C98">
        <w:tc>
          <w:tcPr>
            <w:tcW w:w="1217" w:type="dxa"/>
          </w:tcPr>
          <w:p w14:paraId="1091C946"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Ponthier et al 2022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{"citationID":"wmWgrRwx","properties":{"formattedCitation":"[15]","plainCitation":"[15]","noteIndex":0},"citationItems":[{"id":885,"uris":["http://zotero.org/users/local/YdmndyLK/items/F78BV8DB"],"itemData":{"id":885,"type":"article-journal","abstract":"INTRODUCTION: Vancomycin is one of the antibiotics most used in neonates. Continuous infusion has many advantages over intermittent infusions, but no consensus has been achieved regarding the optimal initial dose. The objectives of this study were: to develop a Machine learning (ML) algorithm based on pharmacokinetic profiles obtained by Monte Carlo simulations using a population pharmacokinetic model (POPPK) from the literature, in order to derive the best vancomycin initial dose in preterm and term neonates, and to compare ML performances with those of an literature equation (LE) derived from a POPPK previously published.\nMATERIALS AND METHODS: The parameters of a previously published POPPK model of vancomycin in children and neonates were used in the mrgsolve R package to simulate 1900 PK profiles. ML algorithms were developed from these simulations using Xgboost, GLMNET and MARS in parallel, benchmarked and used to calculate the ML first dose. Performances were evaluated in a second simulation set and in an external set of 82 real patients and compared to those of a LE.\nRESULTS: The Xgboost algorithm yielded numerically best performances and target attainment rates: 46.9% in the second simulation set of 400-600 AUC/MIC ratio vs. 41.4% for the LE model (p = 0.0018); and 35.3% vs. 28% in real patients (p = 0.401), respectively). The Xgboost model resulted in less AUC/MIC &gt; 600, thus decreasing the risk of nephrotoxicity.\nCONCLUSION: The Xgboost algorithm developed to estimate the initial dose of vancomycin in term or preterm infants has better performances than a previous validated LE and should be evaluated prospectively.","container-title":"Pharmaceutical Research","DOI":"10.1007/s11095-022-03351-6","ISSN":"1573-904X","issue":"10","journalAbbreviation":"Pharm Res","language":"eng","note":"PMID: 35918452","page":"2497-2506","source":"PubMed","title":"Optimization of Vancomycin Initial Dose in Term and Preterm Neonates by Machine Learning","volume":"39","author":[{"family":"Ponthier","given":"Laure"},{"family":"Ensuque","given":"Pauline"},{"family":"Destere","given":"Alexandre"},{"family":"Marquet","given":"Pierre"},{"family":"Labriffe","given":"Marc"},{"family":"Jacqz-Aigrain","given":"Evelyne"},{"family":"Woillard","given":"Jean-Baptiste"}],"issued":{"date-parts":[["2022",10]]}}}],"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[15]</w:t>
            </w:r>
            <w:r w:rsidRPr="006521E0">
              <w:rPr>
                <w:rFonts w:ascii="Times New Roman" w:hAnsi="Times New Roman" w:cs="Times New Roman"/>
                <w:sz w:val="20"/>
                <w:szCs w:val="20"/>
              </w:rPr>
              <w:fldChar w:fldCharType="end"/>
            </w:r>
          </w:p>
        </w:tc>
        <w:tc>
          <w:tcPr>
            <w:tcW w:w="1383" w:type="dxa"/>
          </w:tcPr>
          <w:p w14:paraId="43E34AF6"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1900 PK profiles simulated.</w:t>
            </w:r>
          </w:p>
          <w:p w14:paraId="01BF929E"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External evaluation 82 neonates </w:t>
            </w:r>
          </w:p>
        </w:tc>
        <w:tc>
          <w:tcPr>
            <w:tcW w:w="3065" w:type="dxa"/>
          </w:tcPr>
          <w:p w14:paraId="2D68634F"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t>Target AUC0-24  400-600 mg*h/L</w:t>
            </w:r>
          </w:p>
          <w:p w14:paraId="18B6921D" w14:textId="77777777" w:rsidR="007B14C8" w:rsidRPr="006521E0" w:rsidRDefault="007B14C8" w:rsidP="008D2C98">
            <w:pPr>
              <w:rPr>
                <w:rFonts w:ascii="Times New Roman" w:hAnsi="Times New Roman" w:cs="Times New Roman"/>
                <w:sz w:val="20"/>
                <w:szCs w:val="20"/>
              </w:rPr>
            </w:pPr>
          </w:p>
          <w:p w14:paraId="2F1026CC"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in the target</w:t>
            </w:r>
            <w:r w:rsidRPr="006521E0" w:rsidDel="0038460F">
              <w:rPr>
                <w:rFonts w:ascii="Times New Roman" w:hAnsi="Times New Roman" w:cs="Times New Roman"/>
                <w:sz w:val="20"/>
                <w:szCs w:val="20"/>
              </w:rPr>
              <w:t xml:space="preserve"> </w:t>
            </w:r>
            <w:r w:rsidRPr="006521E0">
              <w:rPr>
                <w:rFonts w:ascii="Times New Roman" w:hAnsi="Times New Roman" w:cs="Times New Roman"/>
                <w:sz w:val="20"/>
                <w:szCs w:val="20"/>
              </w:rPr>
              <w:t>in simulated set: 46.9%</w:t>
            </w:r>
          </w:p>
          <w:p w14:paraId="19AD25CC" w14:textId="77777777" w:rsidR="007B14C8" w:rsidRPr="006521E0" w:rsidRDefault="007B14C8" w:rsidP="008D2C98">
            <w:pPr>
              <w:rPr>
                <w:rFonts w:ascii="Times New Roman" w:hAnsi="Times New Roman" w:cs="Times New Roman"/>
                <w:sz w:val="20"/>
                <w:szCs w:val="20"/>
              </w:rPr>
            </w:pPr>
          </w:p>
          <w:p w14:paraId="228FB3B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in the target</w:t>
            </w:r>
            <w:r w:rsidRPr="006521E0" w:rsidDel="0038460F">
              <w:rPr>
                <w:rFonts w:ascii="Times New Roman" w:hAnsi="Times New Roman" w:cs="Times New Roman"/>
                <w:sz w:val="20"/>
                <w:szCs w:val="20"/>
              </w:rPr>
              <w:t xml:space="preserve"> </w:t>
            </w:r>
            <w:r w:rsidRPr="006521E0">
              <w:rPr>
                <w:rFonts w:ascii="Times New Roman" w:hAnsi="Times New Roman" w:cs="Times New Roman"/>
                <w:sz w:val="20"/>
                <w:szCs w:val="20"/>
              </w:rPr>
              <w:t xml:space="preserve">in external set 35.3% </w:t>
            </w:r>
          </w:p>
          <w:p w14:paraId="7DEF2F13" w14:textId="77777777" w:rsidR="007B14C8" w:rsidRPr="006521E0" w:rsidRDefault="007B14C8" w:rsidP="008D2C98">
            <w:pPr>
              <w:rPr>
                <w:rFonts w:ascii="Times New Roman" w:hAnsi="Times New Roman" w:cs="Times New Roman"/>
                <w:sz w:val="20"/>
                <w:szCs w:val="20"/>
              </w:rPr>
            </w:pPr>
          </w:p>
          <w:p w14:paraId="5BEDEEC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 </w:t>
            </w:r>
          </w:p>
          <w:p w14:paraId="51EF14E6" w14:textId="77777777" w:rsidR="007B14C8" w:rsidRPr="006521E0" w:rsidRDefault="007B14C8" w:rsidP="008D2C98">
            <w:pPr>
              <w:rPr>
                <w:rFonts w:ascii="Times New Roman" w:hAnsi="Times New Roman" w:cs="Times New Roman"/>
                <w:sz w:val="20"/>
                <w:szCs w:val="20"/>
              </w:rPr>
            </w:pPr>
          </w:p>
          <w:p w14:paraId="5C01A102" w14:textId="77777777" w:rsidR="007B14C8" w:rsidRPr="006521E0" w:rsidRDefault="007B14C8" w:rsidP="008D2C98">
            <w:pPr>
              <w:rPr>
                <w:rFonts w:ascii="Times New Roman" w:hAnsi="Times New Roman" w:cs="Times New Roman"/>
                <w:sz w:val="20"/>
                <w:szCs w:val="20"/>
              </w:rPr>
            </w:pPr>
          </w:p>
        </w:tc>
        <w:tc>
          <w:tcPr>
            <w:tcW w:w="1985" w:type="dxa"/>
          </w:tcPr>
          <w:p w14:paraId="458AA151" w14:textId="77777777" w:rsidR="007B14C8" w:rsidRPr="006521E0" w:rsidRDefault="007B14C8" w:rsidP="008D2C98">
            <w:pPr>
              <w:pStyle w:val="NormalWeb"/>
              <w:rPr>
                <w:sz w:val="20"/>
                <w:szCs w:val="20"/>
                <w:lang w:val="en-US"/>
              </w:rPr>
            </w:pPr>
            <w:r w:rsidRPr="006521E0">
              <w:rPr>
                <w:sz w:val="20"/>
                <w:szCs w:val="20"/>
                <w:lang w:val="en-US"/>
              </w:rPr>
              <w:t>NA</w:t>
            </w:r>
          </w:p>
        </w:tc>
        <w:tc>
          <w:tcPr>
            <w:tcW w:w="2835" w:type="dxa"/>
          </w:tcPr>
          <w:p w14:paraId="725B873A" w14:textId="77777777" w:rsidR="007B14C8" w:rsidRPr="006521E0" w:rsidRDefault="007B14C8" w:rsidP="008D2C98">
            <w:pPr>
              <w:pStyle w:val="NormalWeb"/>
              <w:rPr>
                <w:sz w:val="20"/>
                <w:szCs w:val="20"/>
                <w:lang w:val="en-US"/>
              </w:rPr>
            </w:pPr>
            <w:r w:rsidRPr="006521E0">
              <w:rPr>
                <w:sz w:val="20"/>
                <w:szCs w:val="20"/>
                <w:lang w:val="en-US"/>
              </w:rPr>
              <w:t>NA</w:t>
            </w:r>
          </w:p>
        </w:tc>
      </w:tr>
      <w:tr w:rsidR="007B14C8" w:rsidRPr="007048E4" w14:paraId="6B4EAD53" w14:textId="77777777" w:rsidTr="008D2C98">
        <w:tc>
          <w:tcPr>
            <w:tcW w:w="1217" w:type="dxa"/>
          </w:tcPr>
          <w:p w14:paraId="3B3D4F6D"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Patel et al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{"citationID":"ePqPK1xx","properties":{"formattedCitation":"[16]","plainCitation":"[16]","noteIndex":0},"citationItems":[{"id":1362,"uris":["http://zotero.org/users/local/YdmndyLK/items/Q45JAN83"],"itemData":{"id":1362,"type":"article-journal","container-title":"Archives of Disease in Childhood","DOI":"10.1136/archdischild-2012-303197","ISSN":"0003-9888, 1468-2044","issue":"6","journalAbbreviation":"Archives of Disease in Childhood","language":"en","page":"478-479","source":"DOI.org (Crossref)","title":"Continuous infusion of vancomycin in neonates","URL":"https://adc.bmj.com/lookup/doi/10.1136/archdischild-2012-303197","volume":"98","author":[{"family":"Patel","given":"A. D."},{"family":"Anand","given":"D."},{"family":"Lucas","given":"C."},{"family":"Thomson","given":"A. H."}],"accessed":{"date-parts":[["2023",9,25]]},"issued":{"date-parts":[["2013",6,1]]}}}],"schema":"https://github.com/citation-style-language/schema/raw/master/csl-citation.json"}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[16]</w:t>
            </w:r>
            <w:r w:rsidRPr="006521E0">
              <w:rPr>
                <w:rFonts w:ascii="Times New Roman" w:hAnsi="Times New Roman" w:cs="Times New Roman"/>
                <w:sz w:val="20"/>
                <w:szCs w:val="20"/>
              </w:rPr>
              <w:fldChar w:fldCharType="end"/>
            </w:r>
          </w:p>
        </w:tc>
        <w:tc>
          <w:tcPr>
            <w:tcW w:w="1383" w:type="dxa"/>
          </w:tcPr>
          <w:p w14:paraId="3A1CD1E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120 serum samples </w:t>
            </w:r>
          </w:p>
          <w:p w14:paraId="7EAC70F0"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Number of patients not reported</w:t>
            </w:r>
          </w:p>
          <w:p w14:paraId="38759CFA"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82 samples</w:t>
            </w:r>
          </w:p>
        </w:tc>
        <w:tc>
          <w:tcPr>
            <w:tcW w:w="3065" w:type="dxa"/>
          </w:tcPr>
          <w:p w14:paraId="1313EAFB"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t>Target 15-25 mg/L</w:t>
            </w:r>
          </w:p>
          <w:p w14:paraId="7E2A4F95" w14:textId="77777777" w:rsidR="007B14C8" w:rsidRPr="006521E0" w:rsidRDefault="007B14C8" w:rsidP="008D2C98">
            <w:pPr>
              <w:rPr>
                <w:rFonts w:ascii="Times New Roman" w:hAnsi="Times New Roman" w:cs="Times New Roman"/>
                <w:sz w:val="20"/>
                <w:szCs w:val="20"/>
              </w:rPr>
            </w:pPr>
          </w:p>
          <w:p w14:paraId="383C145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 in the target  77% </w:t>
            </w:r>
          </w:p>
          <w:p w14:paraId="73E6431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below the target 4%</w:t>
            </w:r>
          </w:p>
        </w:tc>
        <w:tc>
          <w:tcPr>
            <w:tcW w:w="1985" w:type="dxa"/>
          </w:tcPr>
          <w:p w14:paraId="63A9E875" w14:textId="77777777" w:rsidR="007B14C8" w:rsidRPr="006521E0" w:rsidRDefault="007B14C8" w:rsidP="008D2C98">
            <w:pPr>
              <w:pStyle w:val="NormalWeb"/>
              <w:rPr>
                <w:sz w:val="20"/>
                <w:szCs w:val="20"/>
                <w:lang w:val="en-US"/>
              </w:rPr>
            </w:pPr>
            <w:r w:rsidRPr="006521E0">
              <w:rPr>
                <w:sz w:val="20"/>
                <w:szCs w:val="20"/>
                <w:lang w:val="en-US"/>
              </w:rPr>
              <w:t>NA</w:t>
            </w:r>
          </w:p>
        </w:tc>
        <w:tc>
          <w:tcPr>
            <w:tcW w:w="2835" w:type="dxa"/>
          </w:tcPr>
          <w:p w14:paraId="0847B570" w14:textId="77777777" w:rsidR="007B14C8" w:rsidRPr="006521E0" w:rsidRDefault="007B14C8" w:rsidP="008D2C98">
            <w:pPr>
              <w:pStyle w:val="NormalWeb"/>
              <w:rPr>
                <w:sz w:val="20"/>
                <w:szCs w:val="20"/>
                <w:lang w:val="en-US"/>
              </w:rPr>
            </w:pPr>
            <w:r w:rsidRPr="006521E0">
              <w:rPr>
                <w:sz w:val="20"/>
                <w:szCs w:val="20"/>
                <w:lang w:val="en-US"/>
              </w:rPr>
              <w:t xml:space="preserve">Creat: 39 </w:t>
            </w:r>
            <w:r w:rsidRPr="006521E0">
              <w:rPr>
                <w:sz w:val="20"/>
                <w:szCs w:val="20"/>
                <w:lang w:val="en-US"/>
              </w:rPr>
              <w:sym w:font="Symbol" w:char="F06D"/>
            </w:r>
            <w:r w:rsidRPr="006521E0">
              <w:rPr>
                <w:sz w:val="20"/>
                <w:szCs w:val="20"/>
                <w:lang w:val="en-US"/>
              </w:rPr>
              <w:t xml:space="preserve">mol/L (20) </w:t>
            </w:r>
            <w:r w:rsidRPr="006521E0">
              <w:rPr>
                <w:sz w:val="20"/>
                <w:szCs w:val="20"/>
                <w:vertAlign w:val="superscript"/>
                <w:lang w:val="en-US"/>
              </w:rPr>
              <w:t>d</w:t>
            </w:r>
            <w:r w:rsidRPr="006521E0">
              <w:rPr>
                <w:sz w:val="20"/>
                <w:szCs w:val="20"/>
                <w:lang w:val="en-US"/>
              </w:rPr>
              <w:t xml:space="preserve"> at the start of the treatment and to 28 </w:t>
            </w:r>
            <w:r w:rsidRPr="006521E0">
              <w:rPr>
                <w:sz w:val="20"/>
                <w:szCs w:val="20"/>
                <w:lang w:val="en-US"/>
              </w:rPr>
              <w:sym w:font="Symbol" w:char="F06D"/>
            </w:r>
            <w:r w:rsidRPr="006521E0">
              <w:rPr>
                <w:sz w:val="20"/>
                <w:szCs w:val="20"/>
                <w:lang w:val="en-US"/>
              </w:rPr>
              <w:t xml:space="preserve">mol/L (10) </w:t>
            </w:r>
            <w:r w:rsidRPr="006521E0">
              <w:rPr>
                <w:sz w:val="20"/>
                <w:szCs w:val="20"/>
                <w:vertAlign w:val="superscript"/>
                <w:lang w:val="en-US"/>
              </w:rPr>
              <w:t>d</w:t>
            </w:r>
            <w:r w:rsidRPr="006521E0">
              <w:rPr>
                <w:sz w:val="20"/>
                <w:szCs w:val="20"/>
                <w:lang w:val="en-US"/>
              </w:rPr>
              <w:t xml:space="preserve"> at the end. </w:t>
            </w:r>
          </w:p>
          <w:p w14:paraId="42083080" w14:textId="77777777" w:rsidR="007B14C8" w:rsidRPr="006521E0" w:rsidRDefault="007B14C8" w:rsidP="008D2C98">
            <w:pPr>
              <w:pStyle w:val="NormalWeb"/>
              <w:rPr>
                <w:sz w:val="20"/>
                <w:szCs w:val="20"/>
                <w:lang w:val="en-US"/>
              </w:rPr>
            </w:pPr>
            <w:r w:rsidRPr="006521E0">
              <w:rPr>
                <w:sz w:val="20"/>
                <w:szCs w:val="20"/>
                <w:lang w:val="en-US"/>
              </w:rPr>
              <w:t xml:space="preserve">Two patients who developed renal failure secondary to a decline in clinical status. </w:t>
            </w:r>
          </w:p>
          <w:p w14:paraId="4F397BC9" w14:textId="77777777" w:rsidR="007B14C8" w:rsidRPr="006521E0" w:rsidRDefault="007B14C8" w:rsidP="008D2C98">
            <w:pPr>
              <w:pStyle w:val="NormalWeb"/>
              <w:rPr>
                <w:sz w:val="20"/>
                <w:szCs w:val="20"/>
                <w:lang w:val="en-US"/>
              </w:rPr>
            </w:pPr>
          </w:p>
        </w:tc>
      </w:tr>
      <w:tr w:rsidR="007B14C8" w:rsidRPr="007048E4" w14:paraId="70920B88" w14:textId="77777777" w:rsidTr="008D2C98">
        <w:tc>
          <w:tcPr>
            <w:tcW w:w="1217" w:type="dxa"/>
          </w:tcPr>
          <w:p w14:paraId="445C4B27"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lastRenderedPageBreak/>
              <w:t>Germovsek et al</w:t>
            </w:r>
          </w:p>
          <w:p w14:paraId="23BBF6B4"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 xml:space="preserve">2019 </w:t>
            </w:r>
            <w:r w:rsidRPr="006521E0">
              <w:rPr>
                <w:rFonts w:ascii="Times New Roman" w:hAnsi="Times New Roman" w:cs="Times New Roman"/>
                <w:sz w:val="20"/>
                <w:szCs w:val="20"/>
              </w:rPr>
              <w:fldChar w:fldCharType="begin"/>
            </w:r>
            <w:r w:rsidRPr="006521E0">
              <w:rPr>
                <w:rFonts w:ascii="Times New Roman" w:hAnsi="Times New Roman" w:cs="Times New Roman"/>
                <w:sz w:val="20"/>
                <w:szCs w:val="20"/>
              </w:rPr>
              <w:instrText xml:space="preserve"> ADDIN ZOTERO_ITEM CSL_CITATION {"citationID":"udBOKaFm","properties":{"formattedCitation":"[12]","plainCitation":"[12]","noteIndex":0},"citationItems":[{"id":1363,"uris":["http://zotero.org/users/local/YdmndyLK/items/2WKY9KAV"],"itemData":{"id":1363,"type":"article-journal","abstract":"BACKGROUND: Vancomycin is commonly used for nosocomial bacterial pathogens causing late-onset septicaemia in preterm infants. We prospectively collected pharmacokinetic data aiming to describe pharmacokinetics and determine covariates contributing to the variability in neonatal vancomycin pharmacokinetics. Further, we aimed to use the model to compare the ratio of AUC24 at steady-state to the MIC (AUC24,ss/MIC) of several intermittent and continuous dosing regimens.\nMETHODS: Newborns receiving vancomycin for suspected or confirmed late-onset sepsis were included. Peak and trough concentrations for intermittent vancomycin dosing and steady-state concentrations for continuous vancomycin dosing were measured. NONMEM 7.3 was used for population pharmacokinetic analysis. Monte Carlo simulations were performed to compare dosing schemes.\nRESULTS: Data from 54 infants were used for model development and from 34 infants for the model evaluation {corrected gestational age [median (range)] = 29 (23.7-41.9) weeks and 28 (23.4-41.7) weeks, respectively}. The final model was a one-compartment model. Weight and postmenstrual age were included a priori, and then no additional covariate significantly improved the model fit. Final model parameter estimates [mean (SEM)]: CL = 5.7 (0.3) L/h/70 kg and V = 39.3 (3.7) L/70 kg. Visual predictive check of the evaluation dataset confirmed the model can predict external data. Simulations using MIC of 1 mg/L showed that for neonates with gestational age ≤25 weeks and postnatal age ≤2 weeks AUC24,ss/MIC was lower with the intermittent regimen (median 482 versus 663).\nCONCLUSIONS: A population pharmacokinetic model for continuous and intermittent vancomycin administration in infants was developed. Continuous administration might be favourable for treating infections caused by resistant microorganisms in very young and immature infants.","container-title":"The Journal of Antimicrobial Chemotherapy","DOI":"10.1093/jac/dky525","ISSN":"1460-2091","issue":"4","journalAbbreviation":"J Antimicrob Chemother","language":"eng","note":"PMID: 30668696","page":"1003-1011","source":"PubMed","title":"Development and external evaluation of a population pharmacokinetic model for continuous and intermittent administration of vancomycin in neonates and infants using prospectively collected data","volume":"74","author":[{"family":"Germovsek","given":"Eva"},{"family":"Osborne","given":"Leanne"},{"family":"Gunaratnam","given":"Flora"},{"family":"Lounis","given":"Shehrazed A."},{"family":"Busquets","given":"Ferran Bossacoma"},{"family":"Standing","given":"Joseph F."},{"family":"Sinha","given":"Ajay K."}],"issued":{"date-parts":[["2019",4,1]]}}}],"schema":"https://github.com/citation-style-language/schema/raw/master/csl-citation.json"} </w:instrText>
            </w:r>
            <w:r w:rsidRPr="006521E0">
              <w:rPr>
                <w:rFonts w:ascii="Times New Roman" w:hAnsi="Times New Roman" w:cs="Times New Roman"/>
                <w:sz w:val="20"/>
                <w:szCs w:val="20"/>
              </w:rPr>
              <w:fldChar w:fldCharType="separate"/>
            </w:r>
            <w:r>
              <w:rPr>
                <w:rFonts w:ascii="Times New Roman" w:hAnsi="Times New Roman" w:cs="Times New Roman"/>
                <w:noProof/>
                <w:sz w:val="20"/>
                <w:szCs w:val="20"/>
              </w:rPr>
              <w:t>[12]</w:t>
            </w:r>
            <w:r w:rsidRPr="006521E0">
              <w:rPr>
                <w:rFonts w:ascii="Times New Roman" w:hAnsi="Times New Roman" w:cs="Times New Roman"/>
                <w:sz w:val="20"/>
                <w:szCs w:val="20"/>
              </w:rPr>
              <w:fldChar w:fldCharType="end"/>
            </w:r>
          </w:p>
        </w:tc>
        <w:tc>
          <w:tcPr>
            <w:tcW w:w="1383" w:type="dxa"/>
          </w:tcPr>
          <w:p w14:paraId="7CF4219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54 infants for the model development: 31infants/ 102 concentrations for CI and 23 infants with 81 concentrations II.</w:t>
            </w:r>
          </w:p>
          <w:p w14:paraId="3CB8B123" w14:textId="77777777" w:rsidR="007B14C8" w:rsidRPr="006521E0" w:rsidRDefault="007B14C8" w:rsidP="008D2C98">
            <w:pPr>
              <w:rPr>
                <w:rFonts w:ascii="Times New Roman" w:hAnsi="Times New Roman" w:cs="Times New Roman"/>
                <w:sz w:val="20"/>
                <w:szCs w:val="20"/>
              </w:rPr>
            </w:pPr>
          </w:p>
          <w:p w14:paraId="14705021"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54 infants for the model evaluation: 25 infants/ 84 concentrations for  CI and 9 infants with 23 concentrations II.</w:t>
            </w:r>
          </w:p>
          <w:p w14:paraId="33BEAF3F" w14:textId="77777777" w:rsidR="007B14C8" w:rsidRPr="006521E0" w:rsidRDefault="007B14C8" w:rsidP="008D2C98">
            <w:pPr>
              <w:rPr>
                <w:rFonts w:ascii="Times New Roman" w:hAnsi="Times New Roman" w:cs="Times New Roman"/>
                <w:sz w:val="20"/>
                <w:szCs w:val="20"/>
              </w:rPr>
            </w:pPr>
          </w:p>
        </w:tc>
        <w:tc>
          <w:tcPr>
            <w:tcW w:w="3065" w:type="dxa"/>
          </w:tcPr>
          <w:p w14:paraId="3555D2A3" w14:textId="77777777" w:rsidR="007B14C8" w:rsidRPr="006521E0" w:rsidRDefault="007B14C8" w:rsidP="008D2C98">
            <w:pPr>
              <w:pStyle w:val="NormalWeb"/>
              <w:rPr>
                <w:sz w:val="20"/>
                <w:szCs w:val="20"/>
                <w:lang w:val="en-US"/>
              </w:rPr>
            </w:pPr>
            <w:r w:rsidRPr="006521E0">
              <w:rPr>
                <w:sz w:val="20"/>
                <w:szCs w:val="20"/>
                <w:lang w:val="en-US"/>
              </w:rPr>
              <w:t>Almost all simulations either CI or II reached the target (AUC</w:t>
            </w:r>
            <w:r w:rsidRPr="006521E0">
              <w:rPr>
                <w:position w:val="-4"/>
                <w:sz w:val="20"/>
                <w:szCs w:val="20"/>
                <w:lang w:val="en-US"/>
              </w:rPr>
              <w:t>24,ss</w:t>
            </w:r>
            <w:r w:rsidRPr="006521E0">
              <w:rPr>
                <w:sz w:val="20"/>
                <w:szCs w:val="20"/>
                <w:lang w:val="en-US"/>
              </w:rPr>
              <w:t xml:space="preserve">/MIC of 400) </w:t>
            </w:r>
          </w:p>
          <w:p w14:paraId="387E8D62" w14:textId="77777777" w:rsidR="007B14C8" w:rsidRPr="006521E0" w:rsidRDefault="007B14C8" w:rsidP="008D2C98">
            <w:pPr>
              <w:pStyle w:val="NormalWeb"/>
              <w:rPr>
                <w:sz w:val="20"/>
                <w:szCs w:val="20"/>
                <w:lang w:val="en-US"/>
              </w:rPr>
            </w:pPr>
            <w:r w:rsidRPr="006521E0">
              <w:rPr>
                <w:sz w:val="20"/>
                <w:szCs w:val="20"/>
                <w:lang w:val="en-US"/>
              </w:rPr>
              <w:t>AUC</w:t>
            </w:r>
            <w:r w:rsidRPr="006521E0">
              <w:rPr>
                <w:position w:val="-4"/>
                <w:sz w:val="20"/>
                <w:szCs w:val="20"/>
                <w:lang w:val="en-US"/>
              </w:rPr>
              <w:t>24,ss</w:t>
            </w:r>
            <w:r w:rsidRPr="006521E0">
              <w:rPr>
                <w:sz w:val="20"/>
                <w:szCs w:val="20"/>
                <w:lang w:val="en-US"/>
              </w:rPr>
              <w:t>/MIC:</w:t>
            </w:r>
          </w:p>
          <w:p w14:paraId="6A02BE18" w14:textId="77777777" w:rsidR="007B14C8" w:rsidRPr="006521E0" w:rsidRDefault="007B14C8" w:rsidP="008D2C98">
            <w:pPr>
              <w:pStyle w:val="NormalWeb"/>
              <w:rPr>
                <w:sz w:val="20"/>
                <w:szCs w:val="20"/>
                <w:lang w:val="en-US"/>
              </w:rPr>
            </w:pPr>
            <w:r w:rsidRPr="006521E0">
              <w:rPr>
                <w:sz w:val="20"/>
                <w:szCs w:val="20"/>
                <w:lang w:val="en-US"/>
              </w:rPr>
              <w:t>CI= 467 mg*h/L (210-1084)</w:t>
            </w:r>
            <w:r w:rsidRPr="006521E0">
              <w:rPr>
                <w:sz w:val="20"/>
                <w:szCs w:val="20"/>
                <w:vertAlign w:val="superscript"/>
                <w:lang w:val="en-US"/>
              </w:rPr>
              <w:t xml:space="preserve"> f</w:t>
            </w:r>
          </w:p>
          <w:p w14:paraId="0643823A" w14:textId="77777777" w:rsidR="007B14C8" w:rsidRPr="006521E0" w:rsidRDefault="007B14C8" w:rsidP="008D2C98">
            <w:pPr>
              <w:pStyle w:val="NormalWeb"/>
              <w:rPr>
                <w:sz w:val="20"/>
                <w:szCs w:val="20"/>
                <w:lang w:val="en-US"/>
              </w:rPr>
            </w:pPr>
            <w:r w:rsidRPr="006521E0">
              <w:rPr>
                <w:sz w:val="20"/>
                <w:szCs w:val="20"/>
                <w:lang w:val="en-US"/>
              </w:rPr>
              <w:t>II= 531 mg*h/L (214-1186)</w:t>
            </w:r>
            <w:r w:rsidRPr="006521E0">
              <w:rPr>
                <w:sz w:val="20"/>
                <w:szCs w:val="20"/>
                <w:vertAlign w:val="superscript"/>
                <w:lang w:val="en-US"/>
              </w:rPr>
              <w:t xml:space="preserve"> f</w:t>
            </w:r>
          </w:p>
          <w:p w14:paraId="66E7A6F0" w14:textId="77777777" w:rsidR="007B14C8" w:rsidRPr="006521E0" w:rsidRDefault="007B14C8" w:rsidP="008D2C98">
            <w:pPr>
              <w:pStyle w:val="NormalWeb"/>
              <w:rPr>
                <w:sz w:val="20"/>
                <w:szCs w:val="20"/>
                <w:lang w:val="en-US"/>
              </w:rPr>
            </w:pPr>
            <w:r w:rsidRPr="006521E0">
              <w:rPr>
                <w:sz w:val="20"/>
                <w:szCs w:val="20"/>
                <w:lang w:val="en-US"/>
              </w:rPr>
              <w:t xml:space="preserve">GA &lt;25 weeks and postnatal age &lt;2 weeks: </w:t>
            </w:r>
          </w:p>
          <w:p w14:paraId="5FFC240C" w14:textId="77777777" w:rsidR="007B14C8" w:rsidRPr="006521E0" w:rsidRDefault="007B14C8" w:rsidP="008D2C98">
            <w:pPr>
              <w:pStyle w:val="NormalWeb"/>
              <w:rPr>
                <w:sz w:val="20"/>
                <w:szCs w:val="20"/>
              </w:rPr>
            </w:pPr>
            <w:r w:rsidRPr="006521E0">
              <w:rPr>
                <w:sz w:val="20"/>
                <w:szCs w:val="20"/>
              </w:rPr>
              <w:t>CI: AUC</w:t>
            </w:r>
            <w:r w:rsidRPr="006521E0">
              <w:rPr>
                <w:position w:val="-4"/>
                <w:sz w:val="20"/>
                <w:szCs w:val="20"/>
              </w:rPr>
              <w:t>24,ss</w:t>
            </w:r>
            <w:r w:rsidRPr="006521E0">
              <w:rPr>
                <w:sz w:val="20"/>
                <w:szCs w:val="20"/>
              </w:rPr>
              <w:t>/MIC 663 mg*h/L (246–1401)</w:t>
            </w:r>
            <w:r w:rsidRPr="006521E0">
              <w:rPr>
                <w:sz w:val="20"/>
                <w:szCs w:val="20"/>
                <w:vertAlign w:val="superscript"/>
              </w:rPr>
              <w:t xml:space="preserve"> e</w:t>
            </w:r>
          </w:p>
          <w:p w14:paraId="66FFB88C" w14:textId="77777777" w:rsidR="007B14C8" w:rsidRPr="006521E0" w:rsidRDefault="007B14C8" w:rsidP="008D2C98">
            <w:pPr>
              <w:pStyle w:val="NormalWeb"/>
              <w:rPr>
                <w:sz w:val="20"/>
                <w:szCs w:val="20"/>
                <w:lang w:val="en-US"/>
              </w:rPr>
            </w:pPr>
            <w:r w:rsidRPr="006521E0">
              <w:rPr>
                <w:sz w:val="20"/>
                <w:szCs w:val="20"/>
                <w:lang w:val="en-US"/>
              </w:rPr>
              <w:t>II: AUC</w:t>
            </w:r>
            <w:r w:rsidRPr="006521E0">
              <w:rPr>
                <w:position w:val="-4"/>
                <w:sz w:val="20"/>
                <w:szCs w:val="20"/>
                <w:lang w:val="en-US"/>
              </w:rPr>
              <w:t>24,ss</w:t>
            </w:r>
            <w:r w:rsidRPr="006521E0">
              <w:rPr>
                <w:sz w:val="20"/>
                <w:szCs w:val="20"/>
                <w:lang w:val="en-US"/>
              </w:rPr>
              <w:t xml:space="preserve">/MIC 482 mg*h/L (322–783) </w:t>
            </w:r>
            <w:r w:rsidRPr="006521E0">
              <w:rPr>
                <w:sz w:val="20"/>
                <w:szCs w:val="20"/>
                <w:vertAlign w:val="superscript"/>
                <w:lang w:val="en-US"/>
              </w:rPr>
              <w:t>e</w:t>
            </w:r>
          </w:p>
          <w:p w14:paraId="7B57CB0B" w14:textId="77777777" w:rsidR="007B14C8" w:rsidRPr="006521E0" w:rsidRDefault="007B14C8" w:rsidP="008D2C98">
            <w:pPr>
              <w:pStyle w:val="NormalWeb"/>
              <w:rPr>
                <w:sz w:val="20"/>
                <w:szCs w:val="20"/>
                <w:lang w:val="en-US"/>
              </w:rPr>
            </w:pPr>
            <w:r w:rsidRPr="006521E0">
              <w:rPr>
                <w:sz w:val="20"/>
                <w:szCs w:val="20"/>
                <w:lang w:val="en-US"/>
              </w:rPr>
              <w:t xml:space="preserve">GA &lt;25 weeks and postnatal age &lt;2 weeks: </w:t>
            </w:r>
          </w:p>
          <w:p w14:paraId="72154C52"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No loading dose or loading dose &lt;15 mg/kg: lower exposure 663 mg*h/L (246–1401)</w:t>
            </w:r>
            <w:r w:rsidRPr="006521E0">
              <w:rPr>
                <w:sz w:val="20"/>
                <w:szCs w:val="20"/>
                <w:vertAlign w:val="superscript"/>
              </w:rPr>
              <w:t xml:space="preserve"> </w:t>
            </w:r>
            <w:r w:rsidRPr="006521E0">
              <w:rPr>
                <w:rFonts w:ascii="Times New Roman" w:hAnsi="Times New Roman" w:cs="Times New Roman"/>
                <w:sz w:val="20"/>
                <w:szCs w:val="20"/>
                <w:vertAlign w:val="superscript"/>
              </w:rPr>
              <w:t>e</w:t>
            </w:r>
            <w:r w:rsidRPr="006521E0">
              <w:rPr>
                <w:sz w:val="20"/>
                <w:szCs w:val="20"/>
              </w:rPr>
              <w:t xml:space="preserve"> </w:t>
            </w:r>
            <w:r w:rsidRPr="006521E0">
              <w:rPr>
                <w:rFonts w:ascii="Times New Roman" w:hAnsi="Times New Roman" w:cs="Times New Roman"/>
                <w:sz w:val="20"/>
                <w:szCs w:val="20"/>
              </w:rPr>
              <w:t>compared to loading dose of 15 mg/kg 791 mg*h/L (379–1445)</w:t>
            </w:r>
            <w:r w:rsidRPr="006521E0">
              <w:rPr>
                <w:sz w:val="20"/>
                <w:szCs w:val="20"/>
              </w:rPr>
              <w:t xml:space="preserve"> </w:t>
            </w:r>
            <w:r w:rsidRPr="006521E0">
              <w:rPr>
                <w:rFonts w:ascii="Times New Roman" w:hAnsi="Times New Roman" w:cs="Times New Roman"/>
                <w:sz w:val="20"/>
                <w:szCs w:val="20"/>
                <w:vertAlign w:val="superscript"/>
              </w:rPr>
              <w:t>e</w:t>
            </w:r>
            <w:r w:rsidRPr="006521E0">
              <w:rPr>
                <w:sz w:val="20"/>
                <w:szCs w:val="20"/>
              </w:rPr>
              <w:t>)</w:t>
            </w:r>
          </w:p>
        </w:tc>
        <w:tc>
          <w:tcPr>
            <w:tcW w:w="1985" w:type="dxa"/>
          </w:tcPr>
          <w:p w14:paraId="361DD236" w14:textId="77777777" w:rsidR="007B14C8" w:rsidRPr="006521E0" w:rsidRDefault="007B14C8" w:rsidP="008D2C98">
            <w:pPr>
              <w:pStyle w:val="NormalWeb"/>
              <w:rPr>
                <w:sz w:val="20"/>
                <w:szCs w:val="20"/>
                <w:lang w:val="en-US"/>
              </w:rPr>
            </w:pPr>
            <w:r w:rsidRPr="006521E0">
              <w:rPr>
                <w:sz w:val="20"/>
                <w:szCs w:val="20"/>
                <w:lang w:val="en-US"/>
              </w:rPr>
              <w:t>NA</w:t>
            </w:r>
          </w:p>
        </w:tc>
        <w:tc>
          <w:tcPr>
            <w:tcW w:w="2835" w:type="dxa"/>
          </w:tcPr>
          <w:p w14:paraId="3116352A" w14:textId="77777777" w:rsidR="007B14C8" w:rsidRPr="006521E0" w:rsidRDefault="007B14C8" w:rsidP="008D2C98">
            <w:pPr>
              <w:pStyle w:val="NormalWeb"/>
              <w:rPr>
                <w:sz w:val="20"/>
                <w:szCs w:val="20"/>
                <w:lang w:val="en-US"/>
              </w:rPr>
            </w:pPr>
            <w:r w:rsidRPr="006521E0">
              <w:rPr>
                <w:sz w:val="20"/>
                <w:szCs w:val="20"/>
                <w:lang w:val="en-US"/>
              </w:rPr>
              <w:t xml:space="preserve">4 infants (5.2%) developed acute kidney injury on vancomycin. </w:t>
            </w:r>
          </w:p>
          <w:p w14:paraId="3C02540A" w14:textId="77777777" w:rsidR="007B14C8" w:rsidRPr="006521E0" w:rsidRDefault="007B14C8" w:rsidP="008D2C98">
            <w:pPr>
              <w:pStyle w:val="NormalWeb"/>
              <w:rPr>
                <w:sz w:val="20"/>
                <w:szCs w:val="20"/>
                <w:lang w:val="en-US"/>
              </w:rPr>
            </w:pPr>
            <w:r w:rsidRPr="006521E0">
              <w:rPr>
                <w:sz w:val="20"/>
                <w:szCs w:val="20"/>
                <w:lang w:val="en-US"/>
              </w:rPr>
              <w:t xml:space="preserve">3 of them had a stage 1 injury (serum creatinine rise 1.5 to 1.9 times baseline levels) and one had a stage 3 injury (serum creatinine rise 2.0 to 2.9 times baseline levels) based on neonatal KDIGO classification. </w:t>
            </w:r>
          </w:p>
          <w:p w14:paraId="405EDDEC" w14:textId="77777777" w:rsidR="007B14C8" w:rsidRPr="006521E0" w:rsidRDefault="007B14C8" w:rsidP="008D2C98">
            <w:pPr>
              <w:pStyle w:val="NormalWeb"/>
              <w:rPr>
                <w:rFonts w:eastAsiaTheme="minorHAnsi"/>
                <w:sz w:val="20"/>
                <w:szCs w:val="20"/>
                <w:lang w:val="en-US"/>
              </w:rPr>
            </w:pPr>
          </w:p>
          <w:p w14:paraId="12747BDB" w14:textId="77777777" w:rsidR="007B14C8" w:rsidRPr="006521E0" w:rsidRDefault="007B14C8" w:rsidP="008D2C98">
            <w:pPr>
              <w:pStyle w:val="NormalWeb"/>
              <w:rPr>
                <w:rFonts w:eastAsiaTheme="minorHAnsi"/>
                <w:sz w:val="20"/>
                <w:szCs w:val="20"/>
                <w:lang w:val="en-US"/>
              </w:rPr>
            </w:pPr>
            <w:r w:rsidRPr="006521E0">
              <w:rPr>
                <w:rFonts w:eastAsiaTheme="minorHAnsi"/>
                <w:sz w:val="20"/>
                <w:szCs w:val="20"/>
                <w:lang w:val="en-US"/>
              </w:rPr>
              <w:t xml:space="preserve">Serum creatinine at the start of therapy </w:t>
            </w:r>
          </w:p>
          <w:p w14:paraId="19C04139" w14:textId="77777777" w:rsidR="007B14C8" w:rsidRPr="006521E0" w:rsidRDefault="007B14C8" w:rsidP="008D2C98">
            <w:pPr>
              <w:pStyle w:val="NormalWeb"/>
              <w:rPr>
                <w:rFonts w:eastAsiaTheme="minorHAnsi"/>
                <w:sz w:val="20"/>
                <w:szCs w:val="20"/>
                <w:lang w:val="en-US"/>
              </w:rPr>
            </w:pPr>
            <w:r w:rsidRPr="006521E0">
              <w:rPr>
                <w:rFonts w:eastAsiaTheme="minorHAnsi"/>
                <w:sz w:val="20"/>
                <w:szCs w:val="20"/>
                <w:lang w:val="en-US"/>
              </w:rPr>
              <w:t xml:space="preserve">Model development </w:t>
            </w:r>
          </w:p>
          <w:p w14:paraId="7F92F82D" w14:textId="77777777" w:rsidR="007B14C8" w:rsidRPr="006521E0" w:rsidRDefault="007B14C8" w:rsidP="008D2C98">
            <w:pPr>
              <w:pStyle w:val="NormalWeb"/>
              <w:rPr>
                <w:sz w:val="20"/>
                <w:szCs w:val="20"/>
                <w:lang w:val="en-US"/>
              </w:rPr>
            </w:pPr>
            <w:r w:rsidRPr="006521E0">
              <w:rPr>
                <w:sz w:val="20"/>
                <w:szCs w:val="20"/>
                <w:lang w:val="en-US"/>
              </w:rPr>
              <w:t xml:space="preserve"> 31.0 (18–98) </w:t>
            </w:r>
            <w:r w:rsidRPr="006521E0">
              <w:rPr>
                <w:sz w:val="20"/>
                <w:szCs w:val="20"/>
                <w:vertAlign w:val="superscript"/>
                <w:lang w:val="en-US"/>
              </w:rPr>
              <w:t>c</w:t>
            </w:r>
            <w:r w:rsidRPr="006521E0">
              <w:rPr>
                <w:sz w:val="20"/>
                <w:szCs w:val="20"/>
                <w:lang w:val="en-US"/>
              </w:rPr>
              <w:t xml:space="preserve">  </w:t>
            </w:r>
          </w:p>
          <w:p w14:paraId="4447D9B2" w14:textId="77777777" w:rsidR="007B14C8" w:rsidRPr="006521E0" w:rsidRDefault="007B14C8" w:rsidP="008D2C98">
            <w:pPr>
              <w:pStyle w:val="NormalWeb"/>
              <w:rPr>
                <w:rFonts w:eastAsiaTheme="minorHAnsi"/>
                <w:sz w:val="20"/>
                <w:szCs w:val="20"/>
                <w:lang w:val="en-US"/>
              </w:rPr>
            </w:pPr>
            <w:r w:rsidRPr="006521E0">
              <w:rPr>
                <w:rFonts w:eastAsiaTheme="minorHAnsi"/>
                <w:sz w:val="20"/>
                <w:szCs w:val="20"/>
                <w:lang w:val="en-US"/>
              </w:rPr>
              <w:t xml:space="preserve">Model validation </w:t>
            </w:r>
          </w:p>
          <w:p w14:paraId="13776B8A" w14:textId="77777777" w:rsidR="007B14C8" w:rsidRPr="006521E0" w:rsidRDefault="007B14C8" w:rsidP="008D2C98">
            <w:pPr>
              <w:pStyle w:val="NormalWeb"/>
              <w:rPr>
                <w:sz w:val="20"/>
                <w:szCs w:val="20"/>
                <w:lang w:val="en-US"/>
              </w:rPr>
            </w:pPr>
            <w:r w:rsidRPr="006521E0">
              <w:rPr>
                <w:sz w:val="20"/>
                <w:szCs w:val="20"/>
                <w:lang w:val="en-US"/>
              </w:rPr>
              <w:t xml:space="preserve">34.0 (15–77) </w:t>
            </w:r>
            <w:r w:rsidRPr="006521E0">
              <w:rPr>
                <w:sz w:val="20"/>
                <w:szCs w:val="20"/>
                <w:vertAlign w:val="superscript"/>
                <w:lang w:val="en-US"/>
              </w:rPr>
              <w:t>c</w:t>
            </w:r>
          </w:p>
          <w:p w14:paraId="676559DB" w14:textId="77777777" w:rsidR="007B14C8" w:rsidRPr="006521E0" w:rsidRDefault="007B14C8" w:rsidP="008D2C98">
            <w:pPr>
              <w:pStyle w:val="NormalWeb"/>
              <w:rPr>
                <w:rFonts w:eastAsiaTheme="minorHAnsi"/>
                <w:sz w:val="20"/>
                <w:szCs w:val="20"/>
                <w:lang w:val="en-US"/>
              </w:rPr>
            </w:pPr>
            <w:r w:rsidRPr="006521E0">
              <w:rPr>
                <w:rFonts w:eastAsiaTheme="minorHAnsi"/>
                <w:sz w:val="20"/>
                <w:szCs w:val="20"/>
                <w:lang w:val="en-US"/>
              </w:rPr>
              <w:t xml:space="preserve">Peak serum creatinine during therapy </w:t>
            </w:r>
          </w:p>
          <w:p w14:paraId="363526C3" w14:textId="77777777" w:rsidR="007B14C8" w:rsidRPr="006521E0" w:rsidRDefault="007B14C8" w:rsidP="008D2C98">
            <w:pPr>
              <w:pStyle w:val="NormalWeb"/>
              <w:rPr>
                <w:rFonts w:eastAsiaTheme="minorHAnsi"/>
                <w:sz w:val="20"/>
                <w:szCs w:val="20"/>
                <w:lang w:val="en-US"/>
              </w:rPr>
            </w:pPr>
            <w:r w:rsidRPr="006521E0">
              <w:rPr>
                <w:rFonts w:eastAsiaTheme="minorHAnsi"/>
                <w:sz w:val="20"/>
                <w:szCs w:val="20"/>
                <w:lang w:val="en-US"/>
              </w:rPr>
              <w:t xml:space="preserve">Model development </w:t>
            </w:r>
          </w:p>
          <w:p w14:paraId="301CD883" w14:textId="77777777" w:rsidR="007B14C8" w:rsidRPr="006521E0" w:rsidRDefault="007B14C8" w:rsidP="008D2C98">
            <w:pPr>
              <w:pStyle w:val="NormalWeb"/>
              <w:rPr>
                <w:sz w:val="20"/>
                <w:szCs w:val="20"/>
                <w:lang w:val="en-US"/>
              </w:rPr>
            </w:pPr>
            <w:r w:rsidRPr="006521E0">
              <w:rPr>
                <w:sz w:val="20"/>
                <w:szCs w:val="20"/>
                <w:lang w:val="en-US"/>
              </w:rPr>
              <w:t xml:space="preserve">27.0 (18–83) </w:t>
            </w:r>
            <w:r w:rsidRPr="006521E0">
              <w:rPr>
                <w:sz w:val="20"/>
                <w:szCs w:val="20"/>
                <w:vertAlign w:val="superscript"/>
                <w:lang w:val="en-US"/>
              </w:rPr>
              <w:t>c</w:t>
            </w:r>
          </w:p>
          <w:p w14:paraId="5DAAF2FA" w14:textId="77777777" w:rsidR="007B14C8" w:rsidRPr="006521E0" w:rsidRDefault="007B14C8" w:rsidP="008D2C98">
            <w:pPr>
              <w:pStyle w:val="NormalWeb"/>
              <w:rPr>
                <w:rFonts w:eastAsiaTheme="minorHAnsi"/>
                <w:sz w:val="20"/>
                <w:szCs w:val="20"/>
                <w:lang w:val="en-US"/>
              </w:rPr>
            </w:pPr>
            <w:r w:rsidRPr="006521E0">
              <w:rPr>
                <w:rFonts w:eastAsiaTheme="minorHAnsi"/>
                <w:sz w:val="20"/>
                <w:szCs w:val="20"/>
                <w:lang w:val="en-US"/>
              </w:rPr>
              <w:t xml:space="preserve">Model validation </w:t>
            </w:r>
          </w:p>
          <w:p w14:paraId="0238556A" w14:textId="77777777" w:rsidR="007B14C8" w:rsidRPr="006521E0" w:rsidRDefault="007B14C8" w:rsidP="008D2C98">
            <w:pPr>
              <w:pStyle w:val="NormalWeb"/>
              <w:rPr>
                <w:sz w:val="20"/>
                <w:szCs w:val="20"/>
                <w:lang w:val="en-US"/>
              </w:rPr>
            </w:pPr>
            <w:r w:rsidRPr="006521E0">
              <w:rPr>
                <w:sz w:val="20"/>
                <w:szCs w:val="20"/>
                <w:lang w:val="en-US"/>
              </w:rPr>
              <w:t xml:space="preserve">29.0 (18–162) </w:t>
            </w:r>
            <w:r w:rsidRPr="006521E0">
              <w:rPr>
                <w:sz w:val="20"/>
                <w:szCs w:val="20"/>
                <w:vertAlign w:val="superscript"/>
                <w:lang w:val="en-US"/>
              </w:rPr>
              <w:t>c</w:t>
            </w:r>
          </w:p>
          <w:p w14:paraId="463168E6" w14:textId="77777777" w:rsidR="007B14C8" w:rsidRPr="006521E0" w:rsidRDefault="007B14C8" w:rsidP="008D2C98">
            <w:pPr>
              <w:pStyle w:val="NormalWeb"/>
              <w:rPr>
                <w:sz w:val="20"/>
                <w:szCs w:val="20"/>
                <w:lang w:val="en-US"/>
              </w:rPr>
            </w:pPr>
          </w:p>
        </w:tc>
      </w:tr>
      <w:tr w:rsidR="007B14C8" w:rsidRPr="007048E4" w14:paraId="7853E1E0" w14:textId="77777777" w:rsidTr="008D2C98">
        <w:tc>
          <w:tcPr>
            <w:tcW w:w="1217" w:type="dxa"/>
          </w:tcPr>
          <w:p w14:paraId="2DD1584B" w14:textId="77777777" w:rsidR="007B14C8" w:rsidRPr="006521E0" w:rsidRDefault="007B14C8" w:rsidP="008D2C98">
            <w:pPr>
              <w:pStyle w:val="NormalWeb"/>
              <w:rPr>
                <w:sz w:val="20"/>
                <w:szCs w:val="20"/>
              </w:rPr>
            </w:pPr>
            <w:r w:rsidRPr="006521E0">
              <w:rPr>
                <w:sz w:val="20"/>
                <w:szCs w:val="20"/>
              </w:rPr>
              <w:lastRenderedPageBreak/>
              <w:t xml:space="preserve">Cousin et al 2022 </w:t>
            </w:r>
            <w:r w:rsidRPr="006521E0">
              <w:rPr>
                <w:sz w:val="20"/>
                <w:szCs w:val="20"/>
              </w:rPr>
              <w:fldChar w:fldCharType="begin"/>
            </w:r>
            <w:r w:rsidRPr="006521E0">
              <w:rPr>
                <w:sz w:val="20"/>
                <w:szCs w:val="20"/>
              </w:rPr>
              <w:instrText xml:space="preserve"> ADDIN ZOTERO_ITEM CSL_CITATION {"citationID":"xA3xtZBM","properties":{"formattedCitation":"[18]","plainCitation":"[18]","noteIndex":0},"citationItems":[{"id":1337,"uris":["http://zotero.org/users/local/YdmndyLK/items/T6SB543S"],"itemData":{"id":1337,"type":"article-journal","container-title":"European Journal of Pediatrics","DOI":"10.1007/s00431-022-04500-0","ISSN":"1432-1076","issue":"8","journalAbbreviation":"Eur J Pediatr","language":"en","page":"2935-2942","source":"DOI.org (Crossref)","title":"Role of fluid status markers as risk factors for suboptimal vancomycin concentration during continuous infusion in neonates: an observational study","title-short":"Role of fluid status markers as risk factors for suboptimal vancomycin concentration during continuous infusion in neonates","URL":"https://link.springer.com/10.1007/s00431-022-04500-0","volume":"181","author":[{"family":"Cousin","given":"V. L."},{"family":"Laudouar","given":"Q."},{"family":"Le Saché","given":"N."},{"family":"Mokhtari","given":"M."},{"family":"Durand","given":"P."},{"family":"Furlan","given":"V."},{"family":"Tissières","given":"P."}],"accessed":{"date-parts":[["2023",9,16]]},"issued":{"date-parts":[["2022",8]]}}}],"schema":"https://github.com/citation-style-language/schema/raw/master/csl-citation.json"} </w:instrText>
            </w:r>
            <w:r w:rsidRPr="006521E0">
              <w:rPr>
                <w:sz w:val="20"/>
                <w:szCs w:val="20"/>
              </w:rPr>
              <w:fldChar w:fldCharType="separate"/>
            </w:r>
            <w:r>
              <w:rPr>
                <w:sz w:val="20"/>
                <w:szCs w:val="20"/>
              </w:rPr>
              <w:t>[18]</w:t>
            </w:r>
            <w:r w:rsidRPr="006521E0">
              <w:rPr>
                <w:sz w:val="20"/>
                <w:szCs w:val="20"/>
              </w:rPr>
              <w:fldChar w:fldCharType="end"/>
            </w:r>
          </w:p>
          <w:p w14:paraId="533500B3" w14:textId="77777777" w:rsidR="007B14C8" w:rsidRPr="006521E0" w:rsidRDefault="007B14C8" w:rsidP="008D2C98">
            <w:pPr>
              <w:rPr>
                <w:rFonts w:ascii="Times New Roman" w:hAnsi="Times New Roman" w:cs="Times New Roman"/>
                <w:sz w:val="20"/>
                <w:szCs w:val="20"/>
              </w:rPr>
            </w:pPr>
          </w:p>
        </w:tc>
        <w:tc>
          <w:tcPr>
            <w:tcW w:w="1383" w:type="dxa"/>
          </w:tcPr>
          <w:p w14:paraId="3368A97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52 neonates</w:t>
            </w:r>
          </w:p>
        </w:tc>
        <w:tc>
          <w:tcPr>
            <w:tcW w:w="3065" w:type="dxa"/>
          </w:tcPr>
          <w:p w14:paraId="513B3824" w14:textId="77777777" w:rsidR="007B14C8" w:rsidRPr="006521E0" w:rsidRDefault="007B14C8" w:rsidP="008D2C98">
            <w:pPr>
              <w:rPr>
                <w:rFonts w:ascii="Times New Roman" w:hAnsi="Times New Roman" w:cs="Times New Roman"/>
                <w:i/>
                <w:iCs/>
                <w:sz w:val="20"/>
                <w:szCs w:val="20"/>
              </w:rPr>
            </w:pPr>
            <w:r w:rsidRPr="006521E0">
              <w:rPr>
                <w:rFonts w:ascii="Times New Roman" w:hAnsi="Times New Roman" w:cs="Times New Roman"/>
                <w:i/>
                <w:iCs/>
                <w:sz w:val="20"/>
                <w:szCs w:val="20"/>
              </w:rPr>
              <w:t>Target 20-25 mg/L</w:t>
            </w:r>
          </w:p>
          <w:p w14:paraId="67E59019" w14:textId="77777777" w:rsidR="007B14C8" w:rsidRPr="006521E0" w:rsidRDefault="007B14C8" w:rsidP="008D2C98">
            <w:pPr>
              <w:rPr>
                <w:rFonts w:ascii="Times New Roman" w:hAnsi="Times New Roman" w:cs="Times New Roman"/>
                <w:sz w:val="20"/>
                <w:szCs w:val="20"/>
              </w:rPr>
            </w:pPr>
          </w:p>
          <w:p w14:paraId="6CD5F2CF"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Subtherapeutic: 58.6 % Therapeutic:37.1%</w:t>
            </w:r>
          </w:p>
          <w:p w14:paraId="66D0E655" w14:textId="77777777" w:rsidR="007B14C8" w:rsidRPr="006521E0" w:rsidRDefault="007B14C8" w:rsidP="008D2C98">
            <w:pPr>
              <w:rPr>
                <w:rFonts w:ascii="Times New Roman" w:hAnsi="Times New Roman" w:cs="Times New Roman"/>
                <w:sz w:val="20"/>
                <w:szCs w:val="20"/>
              </w:rPr>
            </w:pPr>
            <w:r w:rsidRPr="006521E0">
              <w:rPr>
                <w:rFonts w:ascii="Times New Roman" w:hAnsi="Times New Roman" w:cs="Times New Roman"/>
                <w:sz w:val="20"/>
                <w:szCs w:val="20"/>
              </w:rPr>
              <w:t>Supratherapeutic(&gt;30mg/L): 4.3 %</w:t>
            </w:r>
          </w:p>
          <w:p w14:paraId="772143E3" w14:textId="77777777" w:rsidR="007B14C8" w:rsidRPr="006521E0" w:rsidRDefault="007B14C8" w:rsidP="008D2C98">
            <w:pPr>
              <w:rPr>
                <w:rFonts w:ascii="Times New Roman" w:hAnsi="Times New Roman" w:cs="Times New Roman"/>
                <w:sz w:val="20"/>
                <w:szCs w:val="20"/>
              </w:rPr>
            </w:pPr>
          </w:p>
        </w:tc>
        <w:tc>
          <w:tcPr>
            <w:tcW w:w="1985" w:type="dxa"/>
          </w:tcPr>
          <w:p w14:paraId="523642B7" w14:textId="77777777" w:rsidR="007B14C8" w:rsidRPr="006521E0" w:rsidRDefault="007B14C8" w:rsidP="008D2C98">
            <w:pPr>
              <w:pStyle w:val="NormalWeb"/>
              <w:rPr>
                <w:sz w:val="20"/>
                <w:szCs w:val="20"/>
                <w:lang w:val="en-US"/>
              </w:rPr>
            </w:pPr>
            <w:r w:rsidRPr="006521E0">
              <w:rPr>
                <w:sz w:val="20"/>
                <w:szCs w:val="20"/>
                <w:lang w:val="en-US"/>
              </w:rPr>
              <w:t xml:space="preserve">6 patients died (6/52, 11.5%) </w:t>
            </w:r>
          </w:p>
          <w:p w14:paraId="06AA4C03" w14:textId="77777777" w:rsidR="007B14C8" w:rsidRPr="006521E0" w:rsidRDefault="007B14C8" w:rsidP="008D2C98">
            <w:pPr>
              <w:pStyle w:val="NormalWeb"/>
              <w:rPr>
                <w:sz w:val="20"/>
                <w:szCs w:val="20"/>
                <w:lang w:val="en-US"/>
              </w:rPr>
            </w:pPr>
            <w:r w:rsidRPr="006521E0">
              <w:rPr>
                <w:sz w:val="20"/>
                <w:szCs w:val="20"/>
                <w:lang w:val="en-US"/>
              </w:rPr>
              <w:t xml:space="preserve">14 episodes of infection = treatment failure:  </w:t>
            </w:r>
          </w:p>
          <w:p w14:paraId="4E32C749" w14:textId="77777777" w:rsidR="007B14C8" w:rsidRPr="006521E0" w:rsidRDefault="007B14C8" w:rsidP="008D2C98">
            <w:pPr>
              <w:pStyle w:val="NormalWeb"/>
              <w:rPr>
                <w:sz w:val="20"/>
                <w:szCs w:val="20"/>
                <w:lang w:val="en-US"/>
              </w:rPr>
            </w:pPr>
            <w:r w:rsidRPr="006521E0">
              <w:rPr>
                <w:sz w:val="20"/>
                <w:szCs w:val="20"/>
                <w:lang w:val="en-US"/>
              </w:rPr>
              <w:t>C</w:t>
            </w:r>
            <w:r w:rsidRPr="006521E0">
              <w:rPr>
                <w:position w:val="-6"/>
                <w:sz w:val="20"/>
                <w:szCs w:val="20"/>
                <w:lang w:val="en-US"/>
              </w:rPr>
              <w:t xml:space="preserve">24h </w:t>
            </w:r>
            <w:r w:rsidRPr="006521E0">
              <w:rPr>
                <w:sz w:val="20"/>
                <w:szCs w:val="20"/>
                <w:lang w:val="en-US"/>
              </w:rPr>
              <w:t>&lt; 20 mg/l in 10/14 (71.4%)</w:t>
            </w:r>
          </w:p>
          <w:p w14:paraId="0D141E34" w14:textId="77777777" w:rsidR="007B14C8" w:rsidRPr="006521E0" w:rsidRDefault="007B14C8" w:rsidP="008D2C98">
            <w:pPr>
              <w:pStyle w:val="NormalWeb"/>
              <w:rPr>
                <w:sz w:val="20"/>
                <w:szCs w:val="20"/>
                <w:lang w:val="en-US"/>
              </w:rPr>
            </w:pPr>
            <w:r w:rsidRPr="006521E0">
              <w:rPr>
                <w:sz w:val="20"/>
                <w:szCs w:val="20"/>
                <w:lang w:val="en-US"/>
              </w:rPr>
              <w:t>NS gram positive vs. no germ identified (</w:t>
            </w:r>
            <w:r w:rsidRPr="006521E0">
              <w:rPr>
                <w:i/>
                <w:iCs/>
                <w:sz w:val="20"/>
                <w:szCs w:val="20"/>
                <w:lang w:val="en-US"/>
              </w:rPr>
              <w:t xml:space="preserve">p </w:t>
            </w:r>
            <w:r w:rsidRPr="006521E0">
              <w:rPr>
                <w:sz w:val="20"/>
                <w:szCs w:val="20"/>
                <w:lang w:val="en-US"/>
              </w:rPr>
              <w:t xml:space="preserve">= 0.37) </w:t>
            </w:r>
          </w:p>
        </w:tc>
        <w:tc>
          <w:tcPr>
            <w:tcW w:w="2835" w:type="dxa"/>
          </w:tcPr>
          <w:p w14:paraId="57D76CD5" w14:textId="77777777" w:rsidR="007B14C8" w:rsidRPr="006521E0" w:rsidRDefault="007B14C8" w:rsidP="008D2C98">
            <w:pPr>
              <w:pStyle w:val="NormalWeb"/>
              <w:rPr>
                <w:sz w:val="20"/>
                <w:szCs w:val="20"/>
                <w:lang w:val="en-US"/>
              </w:rPr>
            </w:pPr>
            <w:r w:rsidRPr="006521E0">
              <w:rPr>
                <w:sz w:val="20"/>
                <w:szCs w:val="20"/>
                <w:lang w:val="en-US"/>
              </w:rPr>
              <w:t xml:space="preserve">Oliguria occurred in 5 episodes of infection: </w:t>
            </w:r>
          </w:p>
          <w:p w14:paraId="7E770D34" w14:textId="77777777" w:rsidR="007B14C8" w:rsidRPr="006521E0" w:rsidRDefault="007B14C8" w:rsidP="008D2C98">
            <w:pPr>
              <w:pStyle w:val="NormalWeb"/>
              <w:rPr>
                <w:sz w:val="20"/>
                <w:szCs w:val="20"/>
                <w:lang w:val="en-US"/>
              </w:rPr>
            </w:pPr>
            <w:r w:rsidRPr="006521E0">
              <w:rPr>
                <w:sz w:val="20"/>
                <w:szCs w:val="20"/>
                <w:lang w:val="en-US"/>
              </w:rPr>
              <w:t>2 had a C</w:t>
            </w:r>
            <w:r w:rsidRPr="006521E0">
              <w:rPr>
                <w:position w:val="-6"/>
                <w:sz w:val="20"/>
                <w:szCs w:val="20"/>
                <w:lang w:val="en-US"/>
              </w:rPr>
              <w:t xml:space="preserve">24h </w:t>
            </w:r>
            <w:r w:rsidRPr="006521E0">
              <w:rPr>
                <w:sz w:val="20"/>
                <w:szCs w:val="20"/>
                <w:lang w:val="en-US"/>
              </w:rPr>
              <w:t xml:space="preserve">&lt; 20 mg/L </w:t>
            </w:r>
          </w:p>
          <w:p w14:paraId="38427E53" w14:textId="77777777" w:rsidR="007B14C8" w:rsidRPr="006521E0" w:rsidRDefault="007B14C8" w:rsidP="008D2C98">
            <w:pPr>
              <w:pStyle w:val="NormalWeb"/>
              <w:rPr>
                <w:sz w:val="20"/>
                <w:szCs w:val="20"/>
                <w:lang w:val="en-US"/>
              </w:rPr>
            </w:pPr>
            <w:r w:rsidRPr="006521E0">
              <w:rPr>
                <w:sz w:val="20"/>
                <w:szCs w:val="20"/>
                <w:lang w:val="en-US"/>
              </w:rPr>
              <w:t>3 had C</w:t>
            </w:r>
            <w:r w:rsidRPr="006521E0">
              <w:rPr>
                <w:position w:val="-6"/>
                <w:sz w:val="20"/>
                <w:szCs w:val="20"/>
                <w:lang w:val="en-US"/>
              </w:rPr>
              <w:t xml:space="preserve">24h </w:t>
            </w:r>
            <w:r w:rsidRPr="006521E0">
              <w:rPr>
                <w:sz w:val="20"/>
                <w:szCs w:val="20"/>
                <w:lang w:val="en-US"/>
              </w:rPr>
              <w:t>≥ 20 mg/L (</w:t>
            </w:r>
            <w:r w:rsidRPr="006521E0">
              <w:rPr>
                <w:i/>
                <w:iCs/>
                <w:sz w:val="20"/>
                <w:szCs w:val="20"/>
                <w:lang w:val="en-US"/>
              </w:rPr>
              <w:t xml:space="preserve">p </w:t>
            </w:r>
            <w:r w:rsidRPr="006521E0">
              <w:rPr>
                <w:sz w:val="20"/>
                <w:szCs w:val="20"/>
                <w:lang w:val="en-US"/>
              </w:rPr>
              <w:t xml:space="preserve">= 0.64). </w:t>
            </w:r>
          </w:p>
          <w:p w14:paraId="69F5087F" w14:textId="77777777" w:rsidR="007B14C8" w:rsidRPr="006521E0" w:rsidRDefault="007B14C8" w:rsidP="008D2C98">
            <w:pPr>
              <w:pStyle w:val="NormalWeb"/>
              <w:rPr>
                <w:sz w:val="20"/>
                <w:szCs w:val="20"/>
                <w:lang w:val="en-US"/>
              </w:rPr>
            </w:pPr>
            <w:r w:rsidRPr="006521E0">
              <w:rPr>
                <w:sz w:val="20"/>
                <w:szCs w:val="20"/>
                <w:lang w:val="en-US"/>
              </w:rPr>
              <w:t>NS in plasma creatinine (</w:t>
            </w:r>
            <w:r w:rsidRPr="006521E0">
              <w:rPr>
                <w:i/>
                <w:iCs/>
                <w:sz w:val="20"/>
                <w:szCs w:val="20"/>
                <w:lang w:val="en-US"/>
              </w:rPr>
              <w:t xml:space="preserve">p </w:t>
            </w:r>
            <w:r w:rsidRPr="006521E0">
              <w:rPr>
                <w:sz w:val="20"/>
                <w:szCs w:val="20"/>
                <w:lang w:val="en-US"/>
              </w:rPr>
              <w:t xml:space="preserve">= 0.36) after 24 h of vancomycin treatment. </w:t>
            </w:r>
          </w:p>
        </w:tc>
      </w:tr>
    </w:tbl>
    <w:p w14:paraId="19A629EA" w14:textId="77777777" w:rsidR="00566F91" w:rsidRDefault="00566F91"/>
    <w:p w14:paraId="599B7EE4" w14:textId="77777777" w:rsidR="00C15478" w:rsidRDefault="00C15478"/>
    <w:p w14:paraId="5A9629C1" w14:textId="77777777" w:rsidR="00C15478" w:rsidRPr="000550F9" w:rsidRDefault="00C15478" w:rsidP="00C15478">
      <w:pPr>
        <w:rPr>
          <w:rFonts w:ascii="Times New Roman" w:hAnsi="Times New Roman" w:cs="Times New Roman"/>
          <w:sz w:val="20"/>
          <w:szCs w:val="20"/>
        </w:rPr>
      </w:pPr>
      <w:r w:rsidRPr="000550F9">
        <w:rPr>
          <w:rFonts w:ascii="Times New Roman" w:hAnsi="Times New Roman" w:cs="Times New Roman"/>
          <w:sz w:val="20"/>
          <w:szCs w:val="20"/>
        </w:rPr>
        <w:t xml:space="preserve">Legends: </w:t>
      </w:r>
      <w:r>
        <w:rPr>
          <w:rFonts w:ascii="Times New Roman" w:hAnsi="Times New Roman" w:cs="Times New Roman"/>
          <w:sz w:val="20"/>
          <w:szCs w:val="20"/>
        </w:rPr>
        <w:t>CI</w:t>
      </w:r>
      <w:r w:rsidRPr="000550F9">
        <w:rPr>
          <w:rFonts w:ascii="Times New Roman" w:hAnsi="Times New Roman" w:cs="Times New Roman"/>
          <w:sz w:val="20"/>
          <w:szCs w:val="20"/>
        </w:rPr>
        <w:t xml:space="preserve">: continuous infusion of vancomycin; Creat: creatinine; d: days; g: grams; GA: gestational Age; </w:t>
      </w:r>
      <w:r>
        <w:rPr>
          <w:rFonts w:ascii="Times New Roman" w:hAnsi="Times New Roman" w:cs="Times New Roman"/>
          <w:sz w:val="20"/>
          <w:szCs w:val="20"/>
        </w:rPr>
        <w:t>h</w:t>
      </w:r>
      <w:r w:rsidRPr="000550F9">
        <w:rPr>
          <w:rFonts w:ascii="Times New Roman" w:hAnsi="Times New Roman" w:cs="Times New Roman"/>
          <w:sz w:val="20"/>
          <w:szCs w:val="20"/>
        </w:rPr>
        <w:t xml:space="preserve">: hours; </w:t>
      </w:r>
      <w:r>
        <w:rPr>
          <w:rFonts w:ascii="Times New Roman" w:hAnsi="Times New Roman" w:cs="Times New Roman"/>
          <w:sz w:val="20"/>
          <w:szCs w:val="20"/>
        </w:rPr>
        <w:t>II</w:t>
      </w:r>
      <w:r w:rsidRPr="000550F9">
        <w:rPr>
          <w:rFonts w:ascii="Times New Roman" w:hAnsi="Times New Roman" w:cs="Times New Roman"/>
          <w:sz w:val="20"/>
          <w:szCs w:val="20"/>
        </w:rPr>
        <w:t xml:space="preserve">: intermittent infusion of vancomycin; </w:t>
      </w:r>
      <w:r>
        <w:rPr>
          <w:rFonts w:ascii="Times New Roman" w:hAnsi="Times New Roman" w:cs="Times New Roman"/>
          <w:sz w:val="20"/>
          <w:szCs w:val="20"/>
        </w:rPr>
        <w:t xml:space="preserve">NS: not </w:t>
      </w:r>
      <w:r w:rsidRPr="00AF26A5">
        <w:rPr>
          <w:rFonts w:ascii="Times New Roman" w:hAnsi="Times New Roman" w:cs="Times New Roman"/>
          <w:sz w:val="20"/>
          <w:szCs w:val="20"/>
        </w:rPr>
        <w:t>significant;</w:t>
      </w:r>
      <w:r w:rsidRPr="000550F9">
        <w:rPr>
          <w:rFonts w:ascii="Times New Roman" w:hAnsi="Times New Roman" w:cs="Times New Roman"/>
          <w:sz w:val="20"/>
          <w:szCs w:val="20"/>
        </w:rPr>
        <w:t xml:space="preserve"> PMA: post menstrual age; PNA: post natal age; SS: steady-state; TDM: therapeutic drug monitoring; w: weeks</w:t>
      </w:r>
    </w:p>
    <w:p w14:paraId="4DCCA628" w14:textId="77777777" w:rsidR="00C15478" w:rsidRPr="000550F9" w:rsidRDefault="00C15478" w:rsidP="00C15478">
      <w:pPr>
        <w:rPr>
          <w:rFonts w:ascii="Times New Roman" w:hAnsi="Times New Roman" w:cs="Times New Roman"/>
          <w:sz w:val="20"/>
          <w:szCs w:val="20"/>
        </w:rPr>
      </w:pPr>
      <w:r w:rsidRPr="000550F9">
        <w:rPr>
          <w:rFonts w:ascii="Times New Roman" w:hAnsi="Times New Roman" w:cs="Times New Roman"/>
          <w:sz w:val="20"/>
          <w:szCs w:val="20"/>
          <w:vertAlign w:val="superscript"/>
        </w:rPr>
        <w:t>a</w:t>
      </w:r>
      <w:r w:rsidRPr="000550F9">
        <w:rPr>
          <w:rFonts w:ascii="Times New Roman" w:hAnsi="Times New Roman" w:cs="Times New Roman"/>
          <w:sz w:val="20"/>
          <w:szCs w:val="20"/>
        </w:rPr>
        <w:t xml:space="preserve"> mean(range)</w:t>
      </w:r>
    </w:p>
    <w:p w14:paraId="3F0F2C97" w14:textId="77777777" w:rsidR="00C15478" w:rsidRPr="000550F9" w:rsidRDefault="00C15478" w:rsidP="00C15478">
      <w:pPr>
        <w:rPr>
          <w:rFonts w:ascii="Times New Roman" w:hAnsi="Times New Roman" w:cs="Times New Roman"/>
          <w:sz w:val="20"/>
          <w:szCs w:val="20"/>
        </w:rPr>
      </w:pPr>
      <w:r w:rsidRPr="000550F9">
        <w:rPr>
          <w:rFonts w:ascii="Times New Roman" w:hAnsi="Times New Roman" w:cs="Times New Roman"/>
          <w:sz w:val="20"/>
          <w:szCs w:val="20"/>
          <w:vertAlign w:val="superscript"/>
        </w:rPr>
        <w:t>b</w:t>
      </w:r>
      <w:r w:rsidRPr="000550F9">
        <w:rPr>
          <w:rFonts w:ascii="Times New Roman" w:hAnsi="Times New Roman" w:cs="Times New Roman"/>
          <w:sz w:val="20"/>
          <w:szCs w:val="20"/>
        </w:rPr>
        <w:t xml:space="preserve"> median(interquartile)</w:t>
      </w:r>
    </w:p>
    <w:p w14:paraId="442E7173" w14:textId="77777777" w:rsidR="00C15478" w:rsidRPr="000550F9" w:rsidRDefault="00C15478" w:rsidP="00C15478">
      <w:pPr>
        <w:rPr>
          <w:rFonts w:ascii="Times New Roman" w:hAnsi="Times New Roman" w:cs="Times New Roman"/>
          <w:sz w:val="20"/>
          <w:szCs w:val="20"/>
        </w:rPr>
      </w:pPr>
      <w:r w:rsidRPr="000550F9">
        <w:rPr>
          <w:rFonts w:ascii="Times New Roman" w:hAnsi="Times New Roman" w:cs="Times New Roman"/>
          <w:sz w:val="20"/>
          <w:szCs w:val="20"/>
          <w:vertAlign w:val="superscript"/>
        </w:rPr>
        <w:t>c</w:t>
      </w:r>
      <w:r w:rsidRPr="000550F9">
        <w:rPr>
          <w:rFonts w:ascii="Times New Roman" w:hAnsi="Times New Roman" w:cs="Times New Roman"/>
          <w:sz w:val="20"/>
          <w:szCs w:val="20"/>
        </w:rPr>
        <w:t xml:space="preserve"> median(range)</w:t>
      </w:r>
    </w:p>
    <w:p w14:paraId="44C32564" w14:textId="77777777" w:rsidR="00C15478" w:rsidRDefault="00C15478" w:rsidP="00C15478">
      <w:pPr>
        <w:rPr>
          <w:rFonts w:ascii="Times New Roman" w:hAnsi="Times New Roman" w:cs="Times New Roman"/>
          <w:sz w:val="20"/>
          <w:szCs w:val="20"/>
        </w:rPr>
      </w:pPr>
      <w:r w:rsidRPr="000550F9">
        <w:rPr>
          <w:rFonts w:ascii="Times New Roman" w:hAnsi="Times New Roman" w:cs="Times New Roman"/>
          <w:sz w:val="20"/>
          <w:szCs w:val="20"/>
          <w:vertAlign w:val="superscript"/>
        </w:rPr>
        <w:t>d</w:t>
      </w:r>
      <w:r w:rsidRPr="000550F9">
        <w:rPr>
          <w:rFonts w:ascii="Times New Roman" w:hAnsi="Times New Roman" w:cs="Times New Roman"/>
          <w:sz w:val="20"/>
          <w:szCs w:val="20"/>
        </w:rPr>
        <w:t xml:space="preserve"> mean (sd)</w:t>
      </w:r>
    </w:p>
    <w:p w14:paraId="0D7E344A" w14:textId="77777777" w:rsidR="00C15478" w:rsidRDefault="00C15478" w:rsidP="00C15478">
      <w:pPr>
        <w:rPr>
          <w:rFonts w:ascii="Times New Roman" w:hAnsi="Times New Roman" w:cs="Times New Roman"/>
          <w:sz w:val="20"/>
          <w:szCs w:val="20"/>
        </w:rPr>
      </w:pPr>
      <w:r w:rsidRPr="001B55EE">
        <w:rPr>
          <w:rFonts w:ascii="Times New Roman" w:hAnsi="Times New Roman" w:cs="Times New Roman"/>
          <w:sz w:val="20"/>
          <w:szCs w:val="20"/>
          <w:vertAlign w:val="superscript"/>
        </w:rPr>
        <w:t>e</w:t>
      </w:r>
      <w:r>
        <w:rPr>
          <w:rFonts w:ascii="Times New Roman" w:hAnsi="Times New Roman" w:cs="Times New Roman"/>
          <w:sz w:val="20"/>
          <w:szCs w:val="20"/>
        </w:rPr>
        <w:t xml:space="preserve"> median (IC95)</w:t>
      </w:r>
    </w:p>
    <w:p w14:paraId="3DA8AEE2" w14:textId="77777777" w:rsidR="00C15478" w:rsidRPr="00933100" w:rsidRDefault="00C15478" w:rsidP="00C15478">
      <w:pPr>
        <w:rPr>
          <w:rFonts w:ascii="Times New Roman" w:hAnsi="Times New Roman" w:cs="Times New Roman"/>
          <w:sz w:val="20"/>
          <w:szCs w:val="20"/>
        </w:rPr>
      </w:pPr>
      <w:r w:rsidRPr="00933100">
        <w:rPr>
          <w:rFonts w:ascii="Times New Roman" w:hAnsi="Times New Roman" w:cs="Times New Roman"/>
          <w:sz w:val="20"/>
          <w:szCs w:val="20"/>
          <w:vertAlign w:val="superscript"/>
        </w:rPr>
        <w:t>f</w:t>
      </w:r>
      <w:r>
        <w:rPr>
          <w:rFonts w:ascii="Times New Roman" w:hAnsi="Times New Roman" w:cs="Times New Roman"/>
          <w:sz w:val="20"/>
          <w:szCs w:val="20"/>
        </w:rPr>
        <w:t xml:space="preserve"> m</w:t>
      </w:r>
      <w:r w:rsidRPr="00933100">
        <w:rPr>
          <w:rFonts w:ascii="Times New Roman" w:hAnsi="Times New Roman" w:cs="Times New Roman"/>
          <w:sz w:val="20"/>
          <w:szCs w:val="20"/>
        </w:rPr>
        <w:t>ean (95CI)</w:t>
      </w:r>
    </w:p>
    <w:p w14:paraId="216FD6F5" w14:textId="77777777" w:rsidR="00C15478" w:rsidRDefault="00C15478"/>
    <w:sectPr w:rsidR="00C15478" w:rsidSect="007B14C8">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4916"/>
    <w:multiLevelType w:val="hybridMultilevel"/>
    <w:tmpl w:val="D7963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A017C8"/>
    <w:multiLevelType w:val="hybridMultilevel"/>
    <w:tmpl w:val="F58A6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5103686">
    <w:abstractNumId w:val="0"/>
  </w:num>
  <w:num w:numId="2" w16cid:durableId="4741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22"/>
    <w:rsid w:val="000156A1"/>
    <w:rsid w:val="000253F1"/>
    <w:rsid w:val="0002572B"/>
    <w:rsid w:val="0004684E"/>
    <w:rsid w:val="000B48A1"/>
    <w:rsid w:val="000E5141"/>
    <w:rsid w:val="00113DE9"/>
    <w:rsid w:val="001601D9"/>
    <w:rsid w:val="00172BAF"/>
    <w:rsid w:val="001900DF"/>
    <w:rsid w:val="001E3158"/>
    <w:rsid w:val="00212D38"/>
    <w:rsid w:val="00242DF0"/>
    <w:rsid w:val="00285F37"/>
    <w:rsid w:val="00290C52"/>
    <w:rsid w:val="002F426C"/>
    <w:rsid w:val="0032131B"/>
    <w:rsid w:val="003536B9"/>
    <w:rsid w:val="00397A42"/>
    <w:rsid w:val="003A36D0"/>
    <w:rsid w:val="003D5A22"/>
    <w:rsid w:val="004722CC"/>
    <w:rsid w:val="004D2786"/>
    <w:rsid w:val="00531873"/>
    <w:rsid w:val="00566F91"/>
    <w:rsid w:val="0064569E"/>
    <w:rsid w:val="00696E15"/>
    <w:rsid w:val="006A0D77"/>
    <w:rsid w:val="006A6D10"/>
    <w:rsid w:val="00726F0A"/>
    <w:rsid w:val="00757030"/>
    <w:rsid w:val="007579E6"/>
    <w:rsid w:val="0076205F"/>
    <w:rsid w:val="00793874"/>
    <w:rsid w:val="007B14C8"/>
    <w:rsid w:val="007B5AD1"/>
    <w:rsid w:val="007C1812"/>
    <w:rsid w:val="0082449C"/>
    <w:rsid w:val="008E52D5"/>
    <w:rsid w:val="00916328"/>
    <w:rsid w:val="009E07B7"/>
    <w:rsid w:val="00A666B6"/>
    <w:rsid w:val="00AB07E0"/>
    <w:rsid w:val="00B11634"/>
    <w:rsid w:val="00B3795F"/>
    <w:rsid w:val="00B65E8D"/>
    <w:rsid w:val="00BB0D8A"/>
    <w:rsid w:val="00C15478"/>
    <w:rsid w:val="00C33876"/>
    <w:rsid w:val="00C47823"/>
    <w:rsid w:val="00C61359"/>
    <w:rsid w:val="00C62D84"/>
    <w:rsid w:val="00C838B2"/>
    <w:rsid w:val="00C9729C"/>
    <w:rsid w:val="00CA1C18"/>
    <w:rsid w:val="00CD18C1"/>
    <w:rsid w:val="00D124AC"/>
    <w:rsid w:val="00D17353"/>
    <w:rsid w:val="00D20917"/>
    <w:rsid w:val="00D47524"/>
    <w:rsid w:val="00DA753D"/>
    <w:rsid w:val="00DD2717"/>
    <w:rsid w:val="00DD2C5F"/>
    <w:rsid w:val="00ED0B6B"/>
    <w:rsid w:val="00ED494E"/>
    <w:rsid w:val="00EF19A3"/>
    <w:rsid w:val="00F45819"/>
    <w:rsid w:val="00F47836"/>
    <w:rsid w:val="00F91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13ED"/>
  <w15:chartTrackingRefBased/>
  <w15:docId w15:val="{BC31AD16-9D65-7D4D-A12B-60A72B13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C8"/>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B14C8"/>
    <w:pPr>
      <w:spacing w:before="100" w:beforeAutospacing="1" w:after="100" w:afterAutospacing="1"/>
    </w:pPr>
    <w:rPr>
      <w:rFonts w:ascii="Times New Roman" w:eastAsia="Times New Roman" w:hAnsi="Times New Roman" w:cs="Times New Roman"/>
      <w:lang w:val="fr-FR"/>
    </w:rPr>
  </w:style>
  <w:style w:type="paragraph" w:styleId="Paragraphedeliste">
    <w:name w:val="List Paragraph"/>
    <w:basedOn w:val="Normal"/>
    <w:uiPriority w:val="34"/>
    <w:qFormat/>
    <w:rsid w:val="007B14C8"/>
    <w:pPr>
      <w:ind w:left="720"/>
      <w:contextualSpacing/>
    </w:pPr>
  </w:style>
  <w:style w:type="table" w:styleId="Grilledutableau">
    <w:name w:val="Table Grid"/>
    <w:basedOn w:val="TableauNormal"/>
    <w:uiPriority w:val="39"/>
    <w:rsid w:val="007B1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6698</Words>
  <Characters>36845</Characters>
  <Application>Microsoft Office Word</Application>
  <DocSecurity>0</DocSecurity>
  <Lines>307</Lines>
  <Paragraphs>86</Paragraphs>
  <ScaleCrop>false</ScaleCrop>
  <Company/>
  <LinksUpToDate>false</LinksUpToDate>
  <CharactersWithSpaces>43457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PONTHIER</dc:creator>
  <cp:keywords/>
  <dc:description/>
  <cp:lastModifiedBy>Laure PONTHIER</cp:lastModifiedBy>
  <cp:revision>3</cp:revision>
  <dcterms:created xsi:type="dcterms:W3CDTF">2024-02-13T09:52:00Z</dcterms:created>
  <dcterms:modified xsi:type="dcterms:W3CDTF">2024-02-13T09:53:00Z</dcterms:modified>
</cp:coreProperties>
</file>