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7F60" w14:textId="2F5905C0" w:rsidR="00F44CCF" w:rsidRDefault="00F44CCF" w:rsidP="00F44CCF">
      <w:pPr>
        <w:jc w:val="right"/>
        <w:rPr>
          <w:rFonts w:hint="eastAsia"/>
        </w:rPr>
      </w:pPr>
      <w:r>
        <w:rPr>
          <w:rFonts w:hint="eastAsia"/>
        </w:rPr>
        <w:t>2</w:t>
      </w:r>
      <w:r>
        <w:t>020</w:t>
      </w:r>
      <w:r>
        <w:rPr>
          <w:rFonts w:hint="eastAsia"/>
        </w:rPr>
        <w:t>年</w:t>
      </w:r>
      <w:r>
        <w:t>12</w:t>
      </w:r>
      <w:r>
        <w:rPr>
          <w:rFonts w:hint="eastAsia"/>
        </w:rPr>
        <w:t>月24日</w:t>
      </w:r>
    </w:p>
    <w:p w14:paraId="2762803F" w14:textId="703D743F" w:rsidR="00F44CCF" w:rsidRDefault="00F44CCF" w:rsidP="00F44CCF">
      <w:pPr>
        <w:pStyle w:val="a3"/>
      </w:pPr>
      <w:r>
        <w:rPr>
          <w:rFonts w:hint="eastAsia"/>
        </w:rPr>
        <w:t>「日本版コア・インボイス」</w:t>
      </w:r>
      <w:r>
        <w:rPr>
          <w:rFonts w:hint="eastAsia"/>
        </w:rPr>
        <w:t>これまでの</w:t>
      </w:r>
      <w:r w:rsidRPr="004A13D5">
        <w:rPr>
          <w:rFonts w:hint="eastAsia"/>
        </w:rPr>
        <w:t>検討</w:t>
      </w:r>
      <w:r w:rsidR="0085330F">
        <w:rPr>
          <w:rFonts w:hint="eastAsia"/>
        </w:rPr>
        <w:t>状況</w:t>
      </w:r>
    </w:p>
    <w:p w14:paraId="462A7145" w14:textId="578FC62A" w:rsidR="00F44CCF" w:rsidRPr="00F44CCF" w:rsidRDefault="00F44CCF" w:rsidP="00F44CCF">
      <w:pPr>
        <w:jc w:val="right"/>
        <w:rPr>
          <w:rFonts w:hint="eastAsia"/>
        </w:rPr>
      </w:pPr>
      <w:r>
        <w:rPr>
          <w:rFonts w:hint="eastAsia"/>
        </w:rPr>
        <w:t>X</w:t>
      </w:r>
      <w:r>
        <w:t>BRL Japan</w:t>
      </w:r>
      <w:r>
        <w:rPr>
          <w:rFonts w:hint="eastAsia"/>
        </w:rPr>
        <w:t>顧問　三分一信之</w:t>
      </w:r>
    </w:p>
    <w:p w14:paraId="08DEA81D" w14:textId="77777777" w:rsidR="00F44CCF" w:rsidRDefault="00F44CCF" w:rsidP="00F44CCF">
      <w:pPr>
        <w:pStyle w:val="1"/>
      </w:pPr>
      <w:r>
        <w:rPr>
          <w:rFonts w:hint="eastAsia"/>
        </w:rPr>
        <w:t>内税</w:t>
      </w:r>
      <w:r>
        <w:t>/</w:t>
      </w:r>
      <w:r>
        <w:rPr>
          <w:rFonts w:hint="eastAsia"/>
        </w:rPr>
        <w:t>外税</w:t>
      </w:r>
    </w:p>
    <w:p w14:paraId="281FF16E" w14:textId="7EAD76BB" w:rsidR="00F44CCF" w:rsidRDefault="00F44CCF" w:rsidP="00F44CCF">
      <w:r w:rsidRPr="002000A8">
        <w:rPr>
          <w:rFonts w:hint="eastAsia"/>
          <w:sz w:val="36"/>
          <w:szCs w:val="36"/>
          <w:highlight w:val="white"/>
        </w:rPr>
        <w:t>Q</w:t>
      </w:r>
      <w:r>
        <w:rPr>
          <w:rFonts w:hint="eastAsia"/>
          <w:highlight w:val="white"/>
        </w:rPr>
        <w:t xml:space="preserve"> </w:t>
      </w:r>
      <w:r>
        <w:rPr>
          <w:highlight w:val="white"/>
        </w:rPr>
        <w:t>税込と税抜の金額を両方持てば良いということではなく、どちらが基準になって計算されているのかが分からないと端数処理が正しく</w:t>
      </w:r>
      <w:r>
        <w:rPr>
          <w:rFonts w:hint="eastAsia"/>
          <w:highlight w:val="white"/>
        </w:rPr>
        <w:t>なりません</w:t>
      </w:r>
      <w:r>
        <w:rPr>
          <w:highlight w:val="white"/>
        </w:rPr>
        <w:t>。内税であれば、税込金額が基準になって税額を計算し、税抜金額が計算されます。外税であれば、税抜金額が基準になって税額を計算し、税込金額が計算されます。請求段階で再計算することがありますので、「税抜/税込の</w:t>
      </w:r>
      <w:proofErr w:type="gramStart"/>
      <w:r>
        <w:rPr>
          <w:highlight w:val="white"/>
        </w:rPr>
        <w:t>切替</w:t>
      </w:r>
      <w:proofErr w:type="gramEnd"/>
      <w:r>
        <w:rPr>
          <w:highlight w:val="white"/>
        </w:rPr>
        <w:t>フラグ」か「内税／外税」のフラグに相当するフラグが無いと端数が合</w:t>
      </w:r>
      <w:r>
        <w:rPr>
          <w:rFonts w:hint="eastAsia"/>
          <w:highlight w:val="white"/>
        </w:rPr>
        <w:t>いません</w:t>
      </w:r>
      <w:r>
        <w:rPr>
          <w:highlight w:val="white"/>
        </w:rPr>
        <w:t>。「内税／外税」のフラグはありますか？　「内税／外税」の問題は消費税法の問題ではなく、取引先との決めの問題です。取引先毎、品目毎で変わります。</w:t>
      </w:r>
    </w:p>
    <w:p w14:paraId="6C7DC38D" w14:textId="770D56A8" w:rsidR="00F44CCF" w:rsidRDefault="00F44CCF" w:rsidP="00F44CCF">
      <w:r w:rsidRPr="00E57231">
        <w:rPr>
          <w:rFonts w:hint="eastAsia"/>
          <w:color w:val="222222"/>
          <w:sz w:val="36"/>
          <w:szCs w:val="36"/>
        </w:rPr>
        <w:t>A</w:t>
      </w:r>
      <w:r>
        <w:rPr>
          <w:rFonts w:hint="eastAsia"/>
          <w:color w:val="222222"/>
        </w:rPr>
        <w:t xml:space="preserve"> </w:t>
      </w:r>
      <w:r>
        <w:rPr>
          <w:rFonts w:hint="eastAsia"/>
        </w:rPr>
        <w:t>検討状況</w:t>
      </w:r>
    </w:p>
    <w:p w14:paraId="2FC3FA13" w14:textId="77777777" w:rsidR="00F44CCF" w:rsidRDefault="00F44CCF" w:rsidP="00F44CCF">
      <w:r w:rsidRPr="00E57231">
        <w:rPr>
          <w:rFonts w:hint="eastAsia"/>
        </w:rPr>
        <w:t>[EN 16931-1コア・インボイス]</w:t>
      </w:r>
      <w:r>
        <w:rPr>
          <w:rFonts w:hint="eastAsia"/>
        </w:rPr>
        <w:t xml:space="preserve">　</w:t>
      </w:r>
      <w:r>
        <w:t>明細行の品目の金額計算</w:t>
      </w:r>
    </w:p>
    <w:p w14:paraId="0C5D7C81" w14:textId="77777777" w:rsidR="00F44CCF" w:rsidRDefault="00F44CCF" w:rsidP="00F44CCF">
      <w:r>
        <w:t>(BT-146 契約単価) = (BT-148 品目総価格) - (BT-147 品目割引価格)</w:t>
      </w:r>
    </w:p>
    <w:p w14:paraId="797E0CEB" w14:textId="7BE03DFE" w:rsidR="00F44CCF" w:rsidRDefault="00F44CCF" w:rsidP="00F44CCF">
      <w:r w:rsidRPr="00F44CCF">
        <w:rPr>
          <w:rFonts w:asciiTheme="majorHAnsi" w:eastAsiaTheme="majorHAnsi" w:hAnsiTheme="majorHAnsi"/>
        </w:rPr>
        <w:t xml:space="preserve">(S) </w:t>
      </w:r>
      <w:r>
        <w:t>ENでは、税抜き金額のように読めるので、日本販でも税抜き固定としたいと思います。</w:t>
      </w:r>
    </w:p>
    <w:p w14:paraId="73C28C14" w14:textId="77777777" w:rsidR="00F44CCF" w:rsidRDefault="00F44CCF" w:rsidP="00F44CCF">
      <w:pPr>
        <w:rPr>
          <w:strike/>
          <w:color w:val="222222"/>
        </w:rPr>
      </w:pPr>
      <w:r>
        <w:t>明細行における税込み単価</w:t>
      </w:r>
      <w:r>
        <w:rPr>
          <w:rFonts w:hint="eastAsia"/>
        </w:rPr>
        <w:t>については、</w:t>
      </w:r>
      <w:r>
        <w:t>jBT-146　品目取引単価（税抜き）を標準とし、オプションとしてjBT-284　品目取引単価（税込み）を追加することで対応したいと思います。この対応で、海外とのインボイス交換では、税抜き/税抜きの判断することなく、無条件に税抜きで処理可能です。</w:t>
      </w:r>
      <w:r>
        <w:rPr>
          <w:color w:val="222222"/>
          <w:highlight w:val="white"/>
        </w:rPr>
        <w:t>Open PEPPOLでは、項目間の関係をビジネスルールとして定義し、XMLスキーマトロンで検証しており、ルール定義を明確にするためには、項目の定義は一意的に明確であることが重要</w:t>
      </w:r>
      <w:r w:rsidRPr="00D93C8A">
        <w:rPr>
          <w:strike/>
          <w:color w:val="222222"/>
          <w:highlight w:val="white"/>
        </w:rPr>
        <w:t>なので</w:t>
      </w:r>
      <w:r w:rsidRPr="00F8556C">
        <w:rPr>
          <w:strike/>
          <w:color w:val="222222"/>
          <w:highlight w:val="white"/>
        </w:rPr>
        <w:t>、切り替えフラグ対応ではなく項目追加としました。</w:t>
      </w:r>
      <w:r w:rsidRPr="00D93C8A">
        <w:rPr>
          <w:rFonts w:hint="eastAsia"/>
          <w:color w:val="222222"/>
          <w:highlight w:val="white"/>
        </w:rPr>
        <w:t>ですが</w:t>
      </w:r>
      <w:r>
        <w:rPr>
          <w:rFonts w:hint="eastAsia"/>
          <w:color w:val="222222"/>
          <w:highlight w:val="white"/>
        </w:rPr>
        <w:t>、日本の商慣習への対応のため「</w:t>
      </w:r>
      <w:r>
        <w:rPr>
          <w:color w:val="222222"/>
          <w:highlight w:val="white"/>
        </w:rPr>
        <w:t>内税／外税」</w:t>
      </w:r>
      <w:r>
        <w:rPr>
          <w:rFonts w:hint="eastAsia"/>
          <w:color w:val="222222"/>
          <w:highlight w:val="white"/>
        </w:rPr>
        <w:t>フラグを追加します。</w:t>
      </w:r>
    </w:p>
    <w:p w14:paraId="0984CD16" w14:textId="77777777" w:rsidR="00F44CCF" w:rsidRDefault="00F44CCF" w:rsidP="00F44CCF">
      <w:r>
        <w:t>明細行の計算</w:t>
      </w:r>
    </w:p>
    <w:p w14:paraId="46BC752C" w14:textId="77777777" w:rsidR="00F44CCF" w:rsidRDefault="00F44CCF" w:rsidP="00F44CCF">
      <w:r>
        <w:t>(BT-131課税対象金額（税抜き）) = (BT-146 契約単価) x (BT-129 納入数量)</w:t>
      </w:r>
    </w:p>
    <w:p w14:paraId="46E7EAF5" w14:textId="77777777" w:rsidR="00F44CCF" w:rsidRDefault="00F44CCF" w:rsidP="00F44CCF">
      <w:r>
        <w:t>税率ごとの計算</w:t>
      </w:r>
    </w:p>
    <w:p w14:paraId="4A2D87E7" w14:textId="77777777" w:rsidR="00F44CCF" w:rsidRDefault="00F44CCF" w:rsidP="00F44CCF">
      <w:r>
        <w:t>(BT-117税額) = (BT-116課税対象の合計金額（税抜き）) x (BT-119税率)</w:t>
      </w:r>
    </w:p>
    <w:p w14:paraId="4FC38D06" w14:textId="77777777" w:rsidR="00F44CCF" w:rsidRDefault="00F44CCF" w:rsidP="00F44CCF">
      <w:r>
        <w:t>(BT-109税抜き合計金額) = Σ(BT-116課税対象の合計金額（税抜き）)</w:t>
      </w:r>
    </w:p>
    <w:p w14:paraId="1C05EC6F" w14:textId="77777777" w:rsidR="00F44CCF" w:rsidRDefault="00F44CCF" w:rsidP="00F44CCF">
      <w:r>
        <w:t>(BT-110消費税合計金額) = Σ(BT-117税額)は金額</w:t>
      </w:r>
    </w:p>
    <w:p w14:paraId="2A4C1C37" w14:textId="77777777" w:rsidR="00F44CCF" w:rsidRPr="00E57231" w:rsidRDefault="00F44CCF" w:rsidP="00F44CCF">
      <w:pPr>
        <w:rPr>
          <w:rFonts w:hint="eastAsia"/>
        </w:rPr>
      </w:pPr>
      <w:r>
        <w:t>(BT-112消費税込み合計金額) = (BT-109税抜き合計金額) + (BT-110消費税合計金額)</w:t>
      </w:r>
    </w:p>
    <w:p w14:paraId="44E3452B" w14:textId="5A149340" w:rsidR="00F44CCF" w:rsidRDefault="00F44CCF" w:rsidP="00F44CCF">
      <w:r w:rsidRPr="00E57231">
        <w:rPr>
          <w:rFonts w:asciiTheme="majorEastAsia" w:eastAsiaTheme="majorEastAsia" w:hAnsiTheme="majorEastAsia" w:hint="eastAsia"/>
        </w:rPr>
        <w:t>[中小企業共通</w:t>
      </w:r>
      <w:r w:rsidRPr="00E57231">
        <w:rPr>
          <w:rFonts w:asciiTheme="majorEastAsia" w:eastAsiaTheme="majorEastAsia" w:hAnsiTheme="majorEastAsia"/>
        </w:rPr>
        <w:t>E</w:t>
      </w:r>
      <w:r w:rsidRPr="00E57231">
        <w:rPr>
          <w:rFonts w:asciiTheme="majorEastAsia" w:eastAsiaTheme="majorEastAsia" w:hAnsiTheme="majorEastAsia" w:hint="eastAsia"/>
        </w:rPr>
        <w:t>DI]</w:t>
      </w:r>
      <w:r>
        <w:rPr>
          <w:rFonts w:asciiTheme="majorEastAsia" w:eastAsiaTheme="majorEastAsia" w:hAnsiTheme="majorEastAsia"/>
        </w:rPr>
        <w:t>(K)</w:t>
      </w:r>
      <w:r w:rsidRPr="00E57231">
        <w:rPr>
          <w:rFonts w:asciiTheme="majorEastAsia" w:eastAsiaTheme="majorEastAsia" w:hAnsiTheme="majorEastAsia" w:hint="eastAsia"/>
        </w:rPr>
        <w:t xml:space="preserve"> </w:t>
      </w:r>
      <w:r>
        <w:t>我が国商習慣では外税表記と内税表記が両方使用されており、税法上もいずれの表記も許容されています。同じ業界内でも混在して利用されて</w:t>
      </w:r>
      <w:r>
        <w:rPr>
          <w:rFonts w:hint="eastAsia"/>
        </w:rPr>
        <w:t>い</w:t>
      </w:r>
      <w:r>
        <w:t>るのが実態です。従って契約単価を外税（税抜き）に固定することができません。外税、内税の識別は各業界EDI標準でも識別キー情報項目を設けていますので我が国ではこの識別キー要件は必須になります。</w:t>
      </w:r>
    </w:p>
    <w:p w14:paraId="5DE15EA2" w14:textId="77777777" w:rsidR="00F44CCF" w:rsidRDefault="00F44CCF" w:rsidP="00F44CCF">
      <w:r>
        <w:lastRenderedPageBreak/>
        <w:t>中小企業共通EDIでは明細行で外税、内税が混在すると分かりにくく処理が面倒になるので、明細行の外税、内税の混在を禁止しています。内税、外税の識別はヘッダ部の税クラスに「税計算方式」を設けて文書全体の外税、内税のいずれかの指定を行っています。</w:t>
      </w:r>
    </w:p>
    <w:p w14:paraId="29F848CA" w14:textId="77777777" w:rsidR="00F44CCF" w:rsidRDefault="00F44CCF" w:rsidP="00F44CCF">
      <w:r>
        <w:t>UBLの単価情報項目が利用できないもう一つの理由は適格請求書保存方式です。適格請求書保存方式では明細行における消費税計算を禁止し、ヘッダ部の合計値で税率ごとに計算することを要件としています。従って明細行の契約単価の情報項目は税に触れることができません。</w:t>
      </w:r>
    </w:p>
    <w:p w14:paraId="350D425A" w14:textId="77777777" w:rsidR="00F44CCF" w:rsidRDefault="00F44CCF" w:rsidP="00F44CCF">
      <w:r>
        <w:t>適格請求書保存方式では売上金額は税込金額を本則として求めています。ただし適格請求書には税額表記が必須ですから、税抜き金額表記でも税込み金額と同等と見做して許容するという考え方です。</w:t>
      </w:r>
    </w:p>
    <w:p w14:paraId="58B74FC9" w14:textId="77777777" w:rsidR="00F44CCF" w:rsidRDefault="00F44CCF" w:rsidP="00F44CCF">
      <w:pPr>
        <w:rPr>
          <w:rFonts w:hint="eastAsia"/>
        </w:rPr>
      </w:pPr>
      <w:r>
        <w:t>我が国では外税会計の企業と内税会計の企業が混在していますので、中小企業共通EDIは合計金額情報項目に「税込み」と「税抜き」の情報項目を提供することにしました。</w:t>
      </w:r>
    </w:p>
    <w:p w14:paraId="0B7CAABD" w14:textId="77777777" w:rsidR="00F44CCF" w:rsidRPr="00E57231" w:rsidRDefault="00F44CCF" w:rsidP="00F44CCF">
      <w:pPr>
        <w:rPr>
          <w:rFonts w:hint="eastAsia"/>
        </w:rPr>
      </w:pPr>
      <w:r>
        <w:t>修正版EXCELの契約単価にUBL方式をマッピングされていますが、これらは定義が異なりますのですべて削除し、原案通り我が国固有の契約単価として独立してマッピングすることをお願いします。</w:t>
      </w:r>
    </w:p>
    <w:p w14:paraId="48AECA89" w14:textId="77777777" w:rsidR="00F44CCF" w:rsidRPr="00E57231" w:rsidRDefault="00F44CCF" w:rsidP="00F44CCF">
      <w:pPr>
        <w:rPr>
          <w:rFonts w:hint="eastAsia"/>
        </w:rPr>
      </w:pPr>
      <w:r>
        <w:rPr>
          <w:rFonts w:hint="eastAsia"/>
        </w:rPr>
        <w:t>す</w:t>
      </w:r>
      <w:r>
        <w:t>でにユーザーが導入している業務アプリ</w:t>
      </w:r>
      <w:r>
        <w:rPr>
          <w:rFonts w:hint="eastAsia"/>
        </w:rPr>
        <w:t>で</w:t>
      </w:r>
      <w:r>
        <w:t>は取引単価は情報項目を一つしか実装していません。業務アプリのEDIへの連携を容易にするため、「税計算方式」で内税・外税を外部で識別する方式としました。UBL対応を考慮して再検討します。</w:t>
      </w:r>
    </w:p>
    <w:p w14:paraId="749CB43F" w14:textId="77777777" w:rsidR="00F44CCF" w:rsidRDefault="00F44CCF" w:rsidP="00F44CCF">
      <w:pPr>
        <w:pStyle w:val="1"/>
      </w:pPr>
      <w:r>
        <w:rPr>
          <w:rFonts w:hint="eastAsia"/>
        </w:rPr>
        <w:t>数量および単位の表現</w:t>
      </w:r>
    </w:p>
    <w:p w14:paraId="3ABBC3DB" w14:textId="0C52183C" w:rsidR="00F44CCF" w:rsidRDefault="00F44CCF" w:rsidP="00F44CCF">
      <w:pPr>
        <w:rPr>
          <w:rFonts w:hint="eastAsia"/>
        </w:rPr>
      </w:pPr>
      <w:r w:rsidRPr="00E57231">
        <w:rPr>
          <w:rFonts w:asciiTheme="majorEastAsia" w:eastAsiaTheme="majorEastAsia" w:hAnsiTheme="majorEastAsia" w:hint="eastAsia"/>
        </w:rPr>
        <w:t>[EN 16931-1コア・インボイス]</w:t>
      </w:r>
      <w:r>
        <w:rPr>
          <w:rFonts w:asciiTheme="majorEastAsia" w:eastAsiaTheme="majorEastAsia" w:hAnsiTheme="majorEastAsia"/>
        </w:rPr>
        <w:t>(S)</w:t>
      </w:r>
      <w:r>
        <w:rPr>
          <w:rFonts w:asciiTheme="majorEastAsia" w:eastAsiaTheme="majorEastAsia" w:hAnsiTheme="majorEastAsia" w:hint="eastAsia"/>
        </w:rPr>
        <w:t xml:space="preserve"> </w:t>
      </w:r>
      <w:r>
        <w:t>日本版コアインボイスでも次の定義としたいと思います。</w:t>
      </w:r>
    </w:p>
    <w:p w14:paraId="505582D9" w14:textId="77777777" w:rsidR="00F44CCF" w:rsidRDefault="00F44CCF" w:rsidP="00F44CCF">
      <w:r>
        <w:t>jBT-129　数量 請求書明細行で請求される品目(商品やサービス)の数量</w:t>
      </w:r>
    </w:p>
    <w:p w14:paraId="7B8993F2" w14:textId="77777777" w:rsidR="00F44CCF" w:rsidRPr="002820E6" w:rsidRDefault="00F44CCF" w:rsidP="00F44CCF">
      <w:r>
        <w:t>jBT-130　数量単位コード</w:t>
      </w:r>
      <w:r>
        <w:rPr>
          <w:rFonts w:hint="eastAsia"/>
        </w:rPr>
        <w:t xml:space="preserve"> </w:t>
      </w:r>
      <w:r>
        <w:t xml:space="preserve">欧州規格のコアインボイスに合わせて、UN/ECE </w:t>
      </w:r>
      <w:hyperlink r:id="rId5">
        <w:r>
          <w:rPr>
            <w:color w:val="1155CC"/>
            <w:u w:val="single"/>
          </w:rPr>
          <w:t>- Trade - UNECE</w:t>
        </w:r>
      </w:hyperlink>
      <w:r>
        <w:t xml:space="preserve"> で使用されているコードに統一する。</w:t>
      </w:r>
      <w:r w:rsidRPr="002820E6">
        <w:t>Rec 20 – Codes for Units of Measure Used in International Trade</w:t>
      </w:r>
      <w:r>
        <w:rPr>
          <w:rFonts w:hint="eastAsia"/>
        </w:rPr>
        <w:t xml:space="preserve"> </w:t>
      </w:r>
    </w:p>
    <w:p w14:paraId="67FDB84D" w14:textId="77777777" w:rsidR="00F44CCF" w:rsidRDefault="00F44CCF" w:rsidP="00F44CCF">
      <w:r>
        <w:t xml:space="preserve">UN/ECE </w:t>
      </w:r>
      <w:hyperlink r:id="rId6">
        <w:r>
          <w:rPr>
            <w:color w:val="1155CC"/>
            <w:u w:val="single"/>
          </w:rPr>
          <w:t>勧告第 20 号(第４版) 国際貿易に用いられる計測量単位コード CEFACT/ICG/2006/IC001</w:t>
        </w:r>
      </w:hyperlink>
    </w:p>
    <w:p w14:paraId="0B9458E3" w14:textId="77777777" w:rsidR="00F44CCF" w:rsidRPr="00643F79" w:rsidRDefault="00F44CCF" w:rsidP="00F44CCF">
      <w:pPr>
        <w:rPr>
          <w:rFonts w:hint="eastAsia"/>
        </w:rPr>
      </w:pPr>
      <w:hyperlink r:id="rId7">
        <w:r w:rsidRPr="00643F79">
          <w:rPr>
            <w:color w:val="1155CC"/>
            <w:u w:val="single"/>
          </w:rPr>
          <w:t>PEPPOL BIS Billing 3.0 | UN/ECE Recommendation 20</w:t>
        </w:r>
      </w:hyperlink>
    </w:p>
    <w:p w14:paraId="5522BA0E" w14:textId="77777777" w:rsidR="00F44CCF" w:rsidRPr="002820E6" w:rsidRDefault="00F44CCF" w:rsidP="00F44CCF">
      <w:r w:rsidRPr="002820E6">
        <w:t>Rec 21 – Codes for Passengers, Types of Cargo, Packages and Packaging Materials (with Complementary Codes for Package Names)</w:t>
      </w:r>
    </w:p>
    <w:p w14:paraId="304890C4" w14:textId="77777777" w:rsidR="00F44CCF" w:rsidRDefault="00F44CCF" w:rsidP="00F44CCF">
      <w:r>
        <w:t xml:space="preserve">UN/ECE </w:t>
      </w:r>
      <w:hyperlink r:id="rId8">
        <w:r>
          <w:rPr>
            <w:color w:val="1155CC"/>
            <w:u w:val="single"/>
          </w:rPr>
          <w:t>勧告第21号（第７版） 旅客、貨物、荷姿、梱包材の種類のコード ECE/TRADE/CEFACT/2009/25</w:t>
        </w:r>
      </w:hyperlink>
    </w:p>
    <w:p w14:paraId="6AE67555" w14:textId="77777777" w:rsidR="00F44CCF" w:rsidRPr="002820E6" w:rsidRDefault="00F44CCF" w:rsidP="00F44CCF">
      <w:pPr>
        <w:rPr>
          <w:rFonts w:hint="eastAsia"/>
        </w:rPr>
      </w:pPr>
      <w:hyperlink r:id="rId9">
        <w:r w:rsidRPr="002820E6">
          <w:rPr>
            <w:color w:val="1155CC"/>
            <w:u w:val="single"/>
          </w:rPr>
          <w:t>PEPPOL BIS Billing 3.0 | UN/ECE Recommendation 21</w:t>
        </w:r>
      </w:hyperlink>
    </w:p>
    <w:p w14:paraId="26303EAF" w14:textId="3A3D2531" w:rsidR="00F44CCF" w:rsidRDefault="00F44CCF" w:rsidP="00F44CCF">
      <w:r>
        <w:t>jBT-269 バラ数量</w:t>
      </w:r>
      <w:r>
        <w:rPr>
          <w:rFonts w:hint="eastAsia"/>
        </w:rPr>
        <w:t>、</w:t>
      </w:r>
      <w:r>
        <w:t>jBT-282 パッケージ数量</w:t>
      </w:r>
      <w:r>
        <w:rPr>
          <w:rFonts w:hint="eastAsia"/>
        </w:rPr>
        <w:t>、</w:t>
      </w:r>
      <w:r>
        <w:t>jBT-281 入り数</w:t>
      </w:r>
      <w:r>
        <w:rPr>
          <w:rFonts w:hint="eastAsia"/>
        </w:rPr>
        <w:t xml:space="preserve"> </w:t>
      </w:r>
      <w:r>
        <w:t>の定義は、海外の方に説明することは難しいと思いますし、数量単位を国際標準に合わせた方が互換性に優れていると思います。一つ一つの個数のときは、Rec 20 の次を使用するようです。</w:t>
      </w:r>
    </w:p>
    <w:p w14:paraId="23E17C58" w14:textId="77777777" w:rsidR="00F44CCF" w:rsidRDefault="00F44CCF" w:rsidP="00F44CCF">
      <w:r>
        <w:rPr>
          <w:rFonts w:ascii="Gungsuh" w:eastAsia="Gungsuh" w:hAnsi="Gungsuh" w:cs="Gungsuh"/>
          <w:color w:val="C7254E"/>
          <w:sz w:val="19"/>
          <w:szCs w:val="19"/>
          <w:shd w:val="clear" w:color="auto" w:fill="F9F2F4"/>
        </w:rPr>
        <w:t xml:space="preserve">C62　</w:t>
      </w:r>
      <w:r>
        <w:rPr>
          <w:b/>
          <w:highlight w:val="white"/>
        </w:rPr>
        <w:t xml:space="preserve">one　</w:t>
      </w:r>
      <w:r>
        <w:t>Synonym: unit</w:t>
      </w:r>
    </w:p>
    <w:p w14:paraId="1C6BFB5C" w14:textId="77777777" w:rsidR="00F44CCF" w:rsidRDefault="00F44CCF" w:rsidP="00F44CCF">
      <w:r>
        <w:t>また、荷姿を指定するときは、Rec 21を使い、例えば、「木箱」は次の指定です。</w:t>
      </w:r>
    </w:p>
    <w:p w14:paraId="7596C585" w14:textId="77777777" w:rsidR="00F44CCF" w:rsidRDefault="00F44CCF" w:rsidP="00F44CCF">
      <w:pPr>
        <w:rPr>
          <w:highlight w:val="white"/>
        </w:rPr>
      </w:pPr>
      <w:r>
        <w:rPr>
          <w:rFonts w:ascii="Gungsuh" w:eastAsia="Gungsuh" w:hAnsi="Gungsuh" w:cs="Gungsuh"/>
          <w:color w:val="C7254E"/>
          <w:sz w:val="19"/>
          <w:szCs w:val="19"/>
          <w:shd w:val="clear" w:color="auto" w:fill="F9F2F4"/>
        </w:rPr>
        <w:t xml:space="preserve">4C　</w:t>
      </w:r>
      <w:r>
        <w:rPr>
          <w:highlight w:val="white"/>
        </w:rPr>
        <w:t>Box, natural wood</w:t>
      </w:r>
    </w:p>
    <w:p w14:paraId="34247C00" w14:textId="77777777" w:rsidR="00F44CCF" w:rsidRDefault="00F44CCF" w:rsidP="00F44CCF">
      <w:pPr>
        <w:rPr>
          <w:highlight w:val="white"/>
        </w:rPr>
      </w:pPr>
      <w:r>
        <w:rPr>
          <w:highlight w:val="white"/>
        </w:rPr>
        <w:t>なお、EN 16931-1 「BT-130 数量単位」の説明には、次の記載があります。</w:t>
      </w:r>
    </w:p>
    <w:p w14:paraId="76B5C910" w14:textId="77777777" w:rsidR="00F44CCF" w:rsidRDefault="00F44CCF" w:rsidP="00F44CCF">
      <w:pPr>
        <w:rPr>
          <w:highlight w:val="white"/>
        </w:rPr>
      </w:pPr>
      <w:r>
        <w:rPr>
          <w:highlight w:val="white"/>
        </w:rPr>
        <w:t>『数量単位は, UN/ECE勧告のリストから選択しなければならない。勧告第 20 号： 国際取引に用いられる単位のコード および 勧告第 21 号： 乗客、貨物種類、梱包、梱包材コードに記載された方法を適用する。ほとんどの場合、発注者と受注者がソフトウェアにこれらのリストを完全に実装する必要</w:t>
      </w:r>
      <w:r>
        <w:rPr>
          <w:highlight w:val="white"/>
        </w:rPr>
        <w:lastRenderedPageBreak/>
        <w:t>はありません。受注者は、自社の商品やサービスに必要な単位をサポートするだけでよい;し、発注者は、請求書で使用されている単位が他の文書で使用されている単位と等しいことを確認するだけで済みます(契約書、カタログ、注文書、および出荷案内書など)。』その他のコード表は、</w:t>
      </w:r>
      <w:r>
        <w:fldChar w:fldCharType="begin"/>
      </w:r>
      <w:r>
        <w:instrText xml:space="preserve"> HYPERLINK "http://www.unece.org/uncefact/codelistrecs.html" \h </w:instrText>
      </w:r>
      <w:r>
        <w:fldChar w:fldCharType="separate"/>
      </w:r>
      <w:r>
        <w:rPr>
          <w:color w:val="1155CC"/>
          <w:highlight w:val="white"/>
          <w:u w:val="single"/>
        </w:rPr>
        <w:t>- Trade - UNECE</w:t>
      </w:r>
      <w:r>
        <w:rPr>
          <w:color w:val="1155CC"/>
          <w:highlight w:val="white"/>
          <w:u w:val="single"/>
        </w:rPr>
        <w:fldChar w:fldCharType="end"/>
      </w:r>
      <w:r>
        <w:rPr>
          <w:highlight w:val="white"/>
        </w:rPr>
        <w:t xml:space="preserve">　にあります。</w:t>
      </w:r>
    </w:p>
    <w:p w14:paraId="36EF6C70" w14:textId="77777777" w:rsidR="00F44CCF" w:rsidRDefault="00F44CCF" w:rsidP="00F44CCF">
      <w:r>
        <w:t>明細行の品目の金額計算</w:t>
      </w:r>
    </w:p>
    <w:p w14:paraId="1A1FE7D2" w14:textId="77777777" w:rsidR="00F44CCF" w:rsidRDefault="00F44CCF" w:rsidP="00F44CCF">
      <w:r>
        <w:t>(BT-146 契約単価) = (BT-148 品目総価格) - (BT-147 品目割引価格)</w:t>
      </w:r>
    </w:p>
    <w:p w14:paraId="550D22AD" w14:textId="77777777" w:rsidR="00F44CCF" w:rsidRDefault="00F44CCF" w:rsidP="00F44CCF">
      <w:r>
        <w:t>(BT-149 品目価格ベース数量)</w:t>
      </w:r>
    </w:p>
    <w:p w14:paraId="73F83A4F" w14:textId="77777777" w:rsidR="00F44CCF" w:rsidRDefault="00F44CCF" w:rsidP="00F44CCF">
      <w:r>
        <w:t>(BT-150 品目価格基準数量単位コード)=(BT-130 Invoiced quantity unit of measure code)</w:t>
      </w:r>
    </w:p>
    <w:p w14:paraId="14E1E562" w14:textId="77777777" w:rsidR="00F44CCF" w:rsidRDefault="00F44CCF" w:rsidP="00F44CCF">
      <w:pPr>
        <w:rPr>
          <w:rFonts w:hint="eastAsia"/>
        </w:rPr>
      </w:pPr>
      <w:r>
        <w:t>(BT-131課税対象金額（税抜き）) = (BT-146 契約単価) x (BT-129 納入数量)</w:t>
      </w:r>
    </w:p>
    <w:p w14:paraId="39299DAB" w14:textId="77777777" w:rsidR="00F44CCF" w:rsidRDefault="00F44CCF" w:rsidP="00F44CCF">
      <w:r>
        <w:t>(BT-117税額) = (BT-116課税対象の合計金額（税抜き）) x (BT-119税率)</w:t>
      </w:r>
    </w:p>
    <w:p w14:paraId="0C928463" w14:textId="77777777" w:rsidR="00F44CCF" w:rsidRDefault="00F44CCF" w:rsidP="00F44CCF">
      <w:r>
        <w:t>(BT-109税抜き合計金額) = Σ(BT-116課税対象の合計金額（税抜き）)</w:t>
      </w:r>
    </w:p>
    <w:p w14:paraId="6BED8694" w14:textId="77777777" w:rsidR="00F44CCF" w:rsidRDefault="00F44CCF" w:rsidP="00F44CCF">
      <w:pPr>
        <w:rPr>
          <w:lang w:eastAsia="zh-TW"/>
        </w:rPr>
      </w:pPr>
      <w:r>
        <w:rPr>
          <w:lang w:eastAsia="zh-TW"/>
        </w:rPr>
        <w:t xml:space="preserve">(BT-110消費税合計金額) = </w:t>
      </w:r>
      <w:r>
        <w:t>Σ</w:t>
      </w:r>
      <w:r>
        <w:rPr>
          <w:lang w:eastAsia="zh-TW"/>
        </w:rPr>
        <w:t>(BT-117税額)</w:t>
      </w:r>
    </w:p>
    <w:p w14:paraId="1250D9F3" w14:textId="77777777" w:rsidR="00F44CCF" w:rsidRDefault="00F44CCF" w:rsidP="00F44CCF">
      <w:pPr>
        <w:rPr>
          <w:rFonts w:hint="eastAsia"/>
        </w:rPr>
      </w:pPr>
      <w:r>
        <w:t>(BT-112消費税込み合計金額) = (BT-109税抜き合計金額) + (BT-110消費税合計金額)</w:t>
      </w:r>
    </w:p>
    <w:p w14:paraId="42C5EE42" w14:textId="56535EA0" w:rsidR="00F44CCF" w:rsidRDefault="00F44CCF" w:rsidP="00F44CCF">
      <w:r w:rsidRPr="00F8556C">
        <w:rPr>
          <w:sz w:val="36"/>
          <w:szCs w:val="36"/>
        </w:rPr>
        <w:t>A</w:t>
      </w:r>
      <w:r>
        <w:t xml:space="preserve"> </w:t>
      </w:r>
      <w:r w:rsidRPr="00F44CCF">
        <w:rPr>
          <w:rFonts w:asciiTheme="majorHAnsi" w:eastAsiaTheme="majorHAnsi" w:hAnsiTheme="majorHAnsi"/>
        </w:rPr>
        <w:t xml:space="preserve">(K) </w:t>
      </w:r>
      <w:r>
        <w:t>特価販売（値引き）価格や出荷手続き料金は、契約単価にどのように組みかむかによって扱いが異なると考えます。上記の付加料金込みで単価契約されているのであれば、明細には単に「契約単価」として表記されると思います。税計算はヘッダ部の合計計算段階で処理されます。付加料金を別建てでテンポラリーに清算するのであれば、月締めで項目を分けて処理されると思います。特価販売（値引き）などは適格返還請求書の対象としての処理になります。</w:t>
      </w:r>
    </w:p>
    <w:p w14:paraId="3E522F8C" w14:textId="77777777" w:rsidR="00F44CCF" w:rsidRDefault="00F44CCF" w:rsidP="00F44CCF">
      <w:r>
        <w:t>数量については我が国では注文メッセージの段階で次の2つの方式が利用されています。</w:t>
      </w:r>
    </w:p>
    <w:p w14:paraId="71F6D1F7" w14:textId="77777777" w:rsidR="00F44CCF" w:rsidRDefault="00F44CCF" w:rsidP="00F44CCF">
      <w:pPr>
        <w:rPr>
          <w:lang w:eastAsia="zh-TW"/>
        </w:rPr>
      </w:pPr>
      <w:r>
        <w:rPr>
          <w:lang w:eastAsia="zh-TW"/>
        </w:rPr>
        <w:t>【方式１】流通業界方式（流通BMS）</w:t>
      </w:r>
    </w:p>
    <w:p w14:paraId="24E1F535" w14:textId="77777777" w:rsidR="00F44CCF" w:rsidRDefault="00F44CCF" w:rsidP="00F44CCF">
      <w:r>
        <w:t>・注文数量（バラ）</w:t>
      </w:r>
    </w:p>
    <w:p w14:paraId="0B88AB21" w14:textId="77777777" w:rsidR="00F44CCF" w:rsidRDefault="00F44CCF" w:rsidP="00F44CCF">
      <w:r>
        <w:t>・注文数量（発注単位）</w:t>
      </w:r>
    </w:p>
    <w:p w14:paraId="1519BF4C" w14:textId="77777777" w:rsidR="00F44CCF" w:rsidRDefault="00F44CCF" w:rsidP="00F44CCF">
      <w:r>
        <w:t>・発注単位数 → 最小発注LOT数</w:t>
      </w:r>
    </w:p>
    <w:p w14:paraId="17CC83D4" w14:textId="77777777" w:rsidR="00F44CCF" w:rsidRDefault="00F44CCF" w:rsidP="00F44CCF">
      <w:r>
        <w:t>【方式２】電気・電子業界方式（JEITA-ECALGA）</w:t>
      </w:r>
    </w:p>
    <w:p w14:paraId="1BEA1EDB" w14:textId="77777777" w:rsidR="00F44CCF" w:rsidRDefault="00F44CCF" w:rsidP="00F44CCF">
      <w:r>
        <w:t>・注文数量</w:t>
      </w:r>
    </w:p>
    <w:p w14:paraId="7FAE6BEE" w14:textId="77777777" w:rsidR="00F44CCF" w:rsidRDefault="00F44CCF" w:rsidP="00F44CCF">
      <w:r>
        <w:t>・入り数 → 発注がパッケージ数や通い箱数などの場合の収納数</w:t>
      </w:r>
    </w:p>
    <w:p w14:paraId="616F8863" w14:textId="77777777" w:rsidR="00F44CCF" w:rsidRDefault="00F44CCF" w:rsidP="00F44CCF">
      <w:r>
        <w:t>【方式１】は注文段階で「バラ」と「発注単位」に分けて発注する方式です。発注単位で発注する場合は発注単位数のデータを併せて送信します。</w:t>
      </w:r>
    </w:p>
    <w:p w14:paraId="0ED032C8" w14:textId="77777777" w:rsidR="00F44CCF" w:rsidRDefault="00F44CCF" w:rsidP="00F44CCF">
      <w:pPr>
        <w:rPr>
          <w:rFonts w:hint="eastAsia"/>
        </w:rPr>
      </w:pPr>
      <w:r>
        <w:t>【方式２】は注文段階では注文数量を指定しますが、「バラ」と「発注単位」は区別していません。「入り数」にデータがある場合は、注文数量をパッケージ数として指定したと見做します。この方式はUBLの数量定義と類似しています。</w:t>
      </w:r>
    </w:p>
    <w:p w14:paraId="6438DCF3" w14:textId="77777777" w:rsidR="00F44CCF" w:rsidRDefault="00F44CCF" w:rsidP="00F44CCF">
      <w:r>
        <w:t>中小企業共通EDIはこれまで【方式２】を採用していました。この度、電子インボイスについて請求メッセージの再検討を行った結果、国連CEFACT CIIに合わせることとしました。国連CEFACT CIIの数量は次の情報項目を採用しています。</w:t>
      </w:r>
    </w:p>
    <w:p w14:paraId="74813C40" w14:textId="77777777" w:rsidR="00F44CCF" w:rsidRDefault="00F44CCF" w:rsidP="00F44CCF">
      <w:r>
        <w:t>・ package quantity. → 「パッケージ数量」と日本語化</w:t>
      </w:r>
    </w:p>
    <w:p w14:paraId="1CF16B9F" w14:textId="77777777" w:rsidR="00F44CCF" w:rsidRDefault="00F44CCF" w:rsidP="00F44CCF">
      <w:r>
        <w:t>・ product unit quantity → 「バラ数量」と日本語化</w:t>
      </w:r>
    </w:p>
    <w:p w14:paraId="74BA7CB7" w14:textId="77777777" w:rsidR="00F44CCF" w:rsidRDefault="00F44CCF" w:rsidP="00F44CCF">
      <w:r>
        <w:t>・ per package unit quantity → 「入り数」と日本語化</w:t>
      </w:r>
    </w:p>
    <w:p w14:paraId="314F5D09" w14:textId="77777777" w:rsidR="00F44CCF" w:rsidRDefault="00F44CCF" w:rsidP="00F44CCF">
      <w:r>
        <w:lastRenderedPageBreak/>
        <w:t>中小企業共通EDI標準ver.4では請求メッセージに上記の国連CEFACT CII方式を採用することとし、合わせて注文メッセージも同じ情報項目に変更する方針としています。この方式は上記の【方式１】流通BMSに類似しています。</w:t>
      </w:r>
    </w:p>
    <w:p w14:paraId="4CB0F31E" w14:textId="77777777" w:rsidR="00F44CCF" w:rsidRDefault="00F44CCF" w:rsidP="00F44CCF">
      <w:r>
        <w:t>今後、各業界との協議で日本版コアインボイスは両方の方式を利用できるようにすることが必要になるかもしれません。</w:t>
      </w:r>
    </w:p>
    <w:p w14:paraId="3B6B9F5D" w14:textId="77777777" w:rsidR="00F44CCF" w:rsidRDefault="00F44CCF" w:rsidP="00F44CCF">
      <w:r>
        <w:t>jBT-269 バラ数量、jBT-282 パッケージ数量、jBT-281 入り数　の定義は国連CEFACT CIIのコアインボイス情報項目ですから、国連CEFACT CIIを利用する各国では標準情報項目です。我が国の流通BMS方式とECALGA方式のいずれにも対応する情報項目セットについて再検討します。</w:t>
      </w:r>
    </w:p>
    <w:p w14:paraId="2ACD87FB" w14:textId="77777777" w:rsidR="00F44CCF" w:rsidRDefault="00F44CCF" w:rsidP="00F44CCF">
      <w:r>
        <w:t>適格返還請求書は受注者の請求金額がマイナスとなる請求書に国税庁が付与した名称と考えています。税額計算の手順はプラス金額の適格請求書と同じ要件が求められています。allowanceを利用して適格返還請求書に対応させる場合、税率ごとの税計算データ情報項目はどのように対応されるでしょうか？</w:t>
      </w:r>
    </w:p>
    <w:p w14:paraId="29E66FD1" w14:textId="77777777" w:rsidR="00F44CCF" w:rsidRDefault="00F44CCF" w:rsidP="00F44CCF">
      <w:pPr>
        <w:pStyle w:val="1"/>
      </w:pPr>
      <w:r>
        <w:rPr>
          <w:rFonts w:hint="eastAsia"/>
        </w:rPr>
        <w:t>ALLOWANCE &amp; CHARGE</w:t>
      </w:r>
    </w:p>
    <w:p w14:paraId="085C7148" w14:textId="7BD9A0DA" w:rsidR="00F44CCF" w:rsidRDefault="00F44CCF" w:rsidP="00F44CCF">
      <w:r w:rsidRPr="00643F79">
        <w:rPr>
          <w:sz w:val="36"/>
          <w:szCs w:val="36"/>
        </w:rPr>
        <w:t>Q</w:t>
      </w:r>
      <w:r>
        <w:rPr>
          <w:rFonts w:hint="eastAsia"/>
        </w:rPr>
        <w:t xml:space="preserve"> </w:t>
      </w:r>
      <w:r w:rsidRPr="00F44CCF">
        <w:rPr>
          <w:rFonts w:asciiTheme="majorHAnsi" w:eastAsiaTheme="majorHAnsi" w:hAnsiTheme="majorHAnsi"/>
        </w:rPr>
        <w:t xml:space="preserve">(S) </w:t>
      </w:r>
      <w:r>
        <w:rPr>
          <w:rFonts w:hint="eastAsia"/>
        </w:rPr>
        <w:t>次の</w:t>
      </w:r>
      <w:r>
        <w:t>ような場合の情報をどの項目で記述するのか</w:t>
      </w:r>
      <w:r>
        <w:rPr>
          <w:rFonts w:hint="eastAsia"/>
        </w:rPr>
        <w:t>。</w:t>
      </w:r>
      <w:r>
        <w:t>アローアンスやチャージが使えないか</w:t>
      </w:r>
      <w:r>
        <w:rPr>
          <w:rFonts w:hint="eastAsia"/>
        </w:rPr>
        <w:t>。</w:t>
      </w:r>
    </w:p>
    <w:p w14:paraId="5D728E27" w14:textId="77777777" w:rsidR="00F44CCF" w:rsidRDefault="00F44CCF" w:rsidP="00F44CCF">
      <w:r>
        <w:rPr>
          <w:rFonts w:hint="eastAsia"/>
        </w:rPr>
        <w:t>*</w:t>
      </w:r>
      <w:r>
        <w:t xml:space="preserve">　値引きなどの適格返還請求書</w:t>
      </w:r>
    </w:p>
    <w:p w14:paraId="0EC45473" w14:textId="77777777" w:rsidR="00F44CCF" w:rsidRDefault="00F44CCF" w:rsidP="00F44CCF">
      <w:r>
        <w:rPr>
          <w:rFonts w:hint="eastAsia"/>
        </w:rPr>
        <w:t>*</w:t>
      </w:r>
      <w:r>
        <w:t xml:space="preserve">　個人事業主への源泉徴収税額を差し引いた支払いに対する請求書</w:t>
      </w:r>
    </w:p>
    <w:p w14:paraId="1CE870EF" w14:textId="77777777" w:rsidR="00F44CCF" w:rsidRDefault="00F44CCF" w:rsidP="00F44CCF">
      <w:r>
        <w:rPr>
          <w:rFonts w:hint="eastAsia"/>
        </w:rPr>
        <w:t>*</w:t>
      </w:r>
      <w:r>
        <w:t xml:space="preserve">　銀行口座への振り込み時の振込手数料を差し引いた支払いを認める請求書</w:t>
      </w:r>
    </w:p>
    <w:p w14:paraId="1C413A4C" w14:textId="77777777" w:rsidR="00F44CCF" w:rsidRDefault="00F44CCF" w:rsidP="00F44CCF">
      <w:r>
        <w:t>ALLOWANCEの日本語翻訳は、「控除（返還請求）」</w:t>
      </w:r>
      <w:r>
        <w:rPr>
          <w:rFonts w:hint="eastAsia"/>
        </w:rPr>
        <w:t>。</w:t>
      </w:r>
      <w:r>
        <w:t>適格返還請求書へのデータ項目の対応が必要であり、ALLOWANCEを請求書全体に適用される控除（返還請求）に関する情報とした。源泉徴収税などの控除（返還請求）もこのグループで指定する。</w:t>
      </w:r>
    </w:p>
    <w:p w14:paraId="0D66354D" w14:textId="77777777" w:rsidR="00F44CCF" w:rsidRDefault="00F44CCF" w:rsidP="00F44CCF">
      <w:r>
        <w:t>ENでは、適格返還請求書に記載する税額が記載できない（総合計では税率ごとの明細が報告できない）ので取引税に返還請求書の税区分を設けて記載する。</w:t>
      </w:r>
    </w:p>
    <w:p w14:paraId="25178D96" w14:textId="77777777" w:rsidR="00F44CCF" w:rsidRDefault="00F44CCF" w:rsidP="00F44CCF">
      <w:r>
        <w:t>定義例は、次の</w:t>
      </w:r>
      <w:r>
        <w:fldChar w:fldCharType="begin"/>
      </w:r>
      <w:r>
        <w:instrText xml:space="preserve"> HYPERLINK "https://docs.google.com/spreadsheets/u/0/d/1e-sZFtJVkMCuXUdOjP23apJIpD_5NhU8/edit" \h </w:instrText>
      </w:r>
      <w:r>
        <w:fldChar w:fldCharType="separate"/>
      </w:r>
      <w:r>
        <w:rPr>
          <w:color w:val="1155CC"/>
          <w:u w:val="single"/>
        </w:rPr>
        <w:t>Excel</w:t>
      </w:r>
      <w:r>
        <w:rPr>
          <w:color w:val="1155CC"/>
          <w:u w:val="single"/>
        </w:rPr>
        <w:fldChar w:fldCharType="end"/>
      </w:r>
      <w:r>
        <w:t>を参照。</w:t>
      </w:r>
    </w:p>
    <w:p w14:paraId="139F7954" w14:textId="77777777" w:rsidR="00F44CCF" w:rsidRDefault="00F44CCF" w:rsidP="00F44CCF">
      <w:r>
        <w:t>「適格請求書」シートは、値引き後の単価のみを記載する例。</w:t>
      </w:r>
    </w:p>
    <w:p w14:paraId="67FE4A14" w14:textId="77777777" w:rsidR="00F44CCF" w:rsidRDefault="00F44CCF" w:rsidP="00F44CCF">
      <w:r>
        <w:t>「適格返還請求書対応」シートは、問19の回答に従った記載例。</w:t>
      </w:r>
    </w:p>
    <w:p w14:paraId="216CD4CF" w14:textId="77777777" w:rsidR="00F44CCF" w:rsidRDefault="00F44CCF" w:rsidP="00F44CCF">
      <w:r>
        <w:t>また、この翻訳を反映した「</w:t>
      </w:r>
      <w:r>
        <w:fldChar w:fldCharType="begin"/>
      </w:r>
      <w:r>
        <w:instrText xml:space="preserve"> HYPERLINK "https://drive.google.com/file/d/1FHcS4wL3w3wYALFeTocqMcu7BDLz0wDO/view?usp=sharing" \h </w:instrText>
      </w:r>
      <w:r>
        <w:fldChar w:fldCharType="separate"/>
      </w:r>
      <w:r>
        <w:rPr>
          <w:color w:val="1155CC"/>
          <w:u w:val="single"/>
        </w:rPr>
        <w:t>日本版コアインボイス</w:t>
      </w:r>
      <w:r>
        <w:rPr>
          <w:color w:val="1155CC"/>
          <w:u w:val="single"/>
        </w:rPr>
        <w:fldChar w:fldCharType="end"/>
      </w:r>
      <w:r>
        <w:t>」も確認してください。</w:t>
      </w:r>
    </w:p>
    <w:p w14:paraId="672CC01F" w14:textId="4CAA98F4" w:rsidR="00F44CCF" w:rsidRPr="00643F79" w:rsidRDefault="00F44CCF" w:rsidP="00F44CCF">
      <w:pPr>
        <w:rPr>
          <w:rFonts w:hint="eastAsia"/>
        </w:rPr>
      </w:pPr>
      <w:r w:rsidRPr="00B42BEA">
        <w:rPr>
          <w:rFonts w:hint="eastAsia"/>
          <w:sz w:val="36"/>
          <w:szCs w:val="36"/>
        </w:rPr>
        <w:t>A</w:t>
      </w:r>
      <w:r>
        <w:rPr>
          <w:rFonts w:hint="eastAsia"/>
        </w:rPr>
        <w:t xml:space="preserve"> </w:t>
      </w:r>
      <w:r w:rsidRPr="00F44CCF">
        <w:rPr>
          <w:rFonts w:asciiTheme="majorHAnsi" w:eastAsiaTheme="majorHAnsi" w:hAnsiTheme="majorHAnsi"/>
        </w:rPr>
        <w:t xml:space="preserve">(K) </w:t>
      </w:r>
      <w:r>
        <w:t>海外におけるアローアンスやチャージの具体的な使用例を知りたいと考えています。これらの使用例が上記のケースに適合するかの見極めがまず必要と考えます。</w:t>
      </w:r>
    </w:p>
    <w:p w14:paraId="3AD34492" w14:textId="77777777" w:rsidR="00F44CCF" w:rsidRDefault="00F44CCF" w:rsidP="00F44CCF">
      <w:r>
        <w:t>まだ検討が始まっていいませんが中小企業共通EDIの月締め請求書では、適格請求書と適格返還請求書が混在する請求メッセージ構造が実務面では必要と判断し、これらを識別するために類型コード（Category. Code）を設けて識別しています。情報項目は適格請求書も適格返還請求書も同じ項目を利用します。</w:t>
      </w:r>
    </w:p>
    <w:p w14:paraId="55FA70AD" w14:textId="77777777" w:rsidR="00F44CCF" w:rsidRDefault="00F44CCF" w:rsidP="00F44CCF">
      <w:pPr>
        <w:rPr>
          <w:highlight w:val="white"/>
        </w:rPr>
      </w:pPr>
      <w:r>
        <w:rPr>
          <w:highlight w:val="white"/>
        </w:rPr>
        <w:t>値引きについてはUBLでは単価に区分を設けて定義していることがわかりました。我が国では月締め段階、またはプロジェクト終了段階で値引き処理することが多いので、都度請求の段階で単価に反映させることは一般的ではありません。適格請求書保存方式も積上げ結果に対して一回の税計算を要求していますので明細段階での値引きと消費税との関係も調査が必要です。</w:t>
      </w:r>
    </w:p>
    <w:p w14:paraId="03C17C4F" w14:textId="77777777" w:rsidR="00F44CCF" w:rsidRDefault="00F44CCF" w:rsidP="00F44CCF">
      <w:pPr>
        <w:rPr>
          <w:rFonts w:hint="eastAsia"/>
        </w:rPr>
      </w:pPr>
      <w:r>
        <w:rPr>
          <w:highlight w:val="white"/>
        </w:rPr>
        <w:lastRenderedPageBreak/>
        <w:t>本件については各業界の調査が必要だと思います。</w:t>
      </w:r>
    </w:p>
    <w:p w14:paraId="30CAA5E9" w14:textId="77777777" w:rsidR="00F44CCF" w:rsidRDefault="00F44CCF" w:rsidP="00F44CCF">
      <w:pPr>
        <w:pStyle w:val="1"/>
      </w:pPr>
      <w:r>
        <w:t>法人の識別子</w:t>
      </w:r>
    </w:p>
    <w:p w14:paraId="694BB2DC" w14:textId="77777777" w:rsidR="00F44CCF" w:rsidRDefault="00F44CCF" w:rsidP="00F44CCF">
      <w:pPr>
        <w:rPr>
          <w:rFonts w:hint="eastAsia"/>
        </w:rPr>
      </w:pPr>
      <w:r w:rsidRPr="002820E6">
        <w:rPr>
          <w:sz w:val="36"/>
          <w:szCs w:val="36"/>
        </w:rPr>
        <w:t>Q</w:t>
      </w:r>
      <w:r>
        <w:rPr>
          <w:rFonts w:hint="eastAsia"/>
        </w:rPr>
        <w:t xml:space="preserve"> </w:t>
      </w:r>
      <w:r>
        <w:t>法人（もしくは個人事業主）の識別子は、どのように表現されるか</w:t>
      </w:r>
      <w:r>
        <w:rPr>
          <w:rFonts w:hint="eastAsia"/>
        </w:rPr>
        <w:t>質問です</w:t>
      </w:r>
      <w:r>
        <w:t>。</w:t>
      </w:r>
      <w:r>
        <w:br/>
        <w:t>法人等の識別子は、</w:t>
      </w:r>
      <w:r>
        <w:rPr>
          <w:rFonts w:hint="eastAsia"/>
        </w:rPr>
        <w:t>次</w:t>
      </w:r>
      <w:r>
        <w:t>が</w:t>
      </w:r>
      <w:r>
        <w:rPr>
          <w:rFonts w:hint="eastAsia"/>
        </w:rPr>
        <w:t>あり</w:t>
      </w:r>
      <w:r>
        <w:t>ます。</w:t>
      </w:r>
      <w:bookmarkStart w:id="0" w:name="_4rmfv0tn9803" w:colFirst="0" w:colLast="0"/>
      <w:bookmarkEnd w:id="0"/>
      <w:r>
        <w:t>法人番号</w:t>
      </w:r>
      <w:r>
        <w:rPr>
          <w:rFonts w:hint="eastAsia"/>
        </w:rPr>
        <w:t>、</w:t>
      </w:r>
      <w:bookmarkStart w:id="1" w:name="_fybfu481yj09" w:colFirst="0" w:colLast="0"/>
      <w:bookmarkEnd w:id="1"/>
      <w:r w:rsidRPr="002820E6">
        <w:t>LEI（Legal Entity Identifier）</w:t>
      </w:r>
      <w:r>
        <w:rPr>
          <w:rFonts w:hint="eastAsia"/>
        </w:rPr>
        <w:t>、</w:t>
      </w:r>
      <w:bookmarkStart w:id="2" w:name="_rizvpdekbn2f" w:colFirst="0" w:colLast="0"/>
      <w:bookmarkEnd w:id="2"/>
      <w:r>
        <w:t>民間の発番するコード（例.TDBの企業コード、など）「国際標準規格に基づく発番機関登録」が</w:t>
      </w:r>
      <w:r>
        <w:rPr>
          <w:rFonts w:hint="eastAsia"/>
        </w:rPr>
        <w:t>発行する識別子には次が</w:t>
      </w:r>
      <w:r>
        <w:t>あり</w:t>
      </w:r>
      <w:r>
        <w:rPr>
          <w:rFonts w:hint="eastAsia"/>
        </w:rPr>
        <w:t>、</w:t>
      </w:r>
      <w:r>
        <w:t>夫々メリット・デメリットがあります。</w:t>
      </w:r>
    </w:p>
    <w:p w14:paraId="18198C3F" w14:textId="77777777" w:rsidR="00F44CCF" w:rsidRDefault="00F44CCF" w:rsidP="00F44CCF">
      <w:pPr>
        <w:rPr>
          <w:rFonts w:hint="eastAsia"/>
        </w:rPr>
      </w:pPr>
      <w:r>
        <w:t>UN/EDIFACT データエレメント3055</w:t>
      </w:r>
      <w:r>
        <w:rPr>
          <w:rFonts w:hint="eastAsia"/>
        </w:rPr>
        <w:t>、</w:t>
      </w:r>
      <w:r>
        <w:t>ISO/IEC 6523-2</w:t>
      </w:r>
      <w:r>
        <w:rPr>
          <w:rFonts w:hint="eastAsia"/>
        </w:rPr>
        <w:t>、</w:t>
      </w:r>
      <w:r>
        <w:t>ISO/IEC 15459-2</w:t>
      </w:r>
    </w:p>
    <w:p w14:paraId="27261D10" w14:textId="77777777" w:rsidR="00F44CCF" w:rsidRDefault="00F44CCF" w:rsidP="00F44CCF">
      <w:r>
        <w:t>例.法人番号：個人事業主に付番されない</w:t>
      </w:r>
    </w:p>
    <w:p w14:paraId="7C35AFEC" w14:textId="77777777" w:rsidR="00F44CCF" w:rsidRDefault="00F44CCF" w:rsidP="00F44CCF">
      <w:r>
        <w:t>例.LEI：個人事業主を付番対象としているが、申請制である</w:t>
      </w:r>
    </w:p>
    <w:p w14:paraId="32AAEB05" w14:textId="77777777" w:rsidR="00F44CCF" w:rsidRDefault="00F44CCF" w:rsidP="00F44CCF">
      <w:r>
        <w:t>例.民間コードは、当該企業が業務を終了するなどが、懸念される</w:t>
      </w:r>
    </w:p>
    <w:p w14:paraId="6206E313" w14:textId="77777777" w:rsidR="00F44CCF" w:rsidRDefault="00F44CCF" w:rsidP="00F44CCF">
      <w:pPr>
        <w:rPr>
          <w:rFonts w:hint="eastAsia"/>
        </w:rPr>
      </w:pPr>
      <w:r>
        <w:rPr>
          <w:rFonts w:hint="eastAsia"/>
        </w:rPr>
        <w:t>そのため、法人の</w:t>
      </w:r>
      <w:r>
        <w:t>識別子は「複数格納可能」とするのが良いでしょうか。</w:t>
      </w:r>
      <w:r>
        <w:br/>
        <w:t>更に「複数格納可能」とする場合、夫々プレフィクスを指定するのが良さそうです。</w:t>
      </w:r>
      <w:r>
        <w:br/>
        <w:t>（発番機関コード＋個別企業コード、など）。</w:t>
      </w:r>
    </w:p>
    <w:p w14:paraId="3D423BF3" w14:textId="77777777" w:rsidR="00F44CCF" w:rsidRDefault="00F44CCF" w:rsidP="00F44CCF">
      <w:r>
        <w:t>例.（ISO/IEC6523-2が冗長なので工夫が必要かもしれません…）</w:t>
      </w:r>
    </w:p>
    <w:p w14:paraId="3102B045" w14:textId="77777777" w:rsidR="00F44CCF" w:rsidRDefault="00F44CCF" w:rsidP="00F44CCF">
      <w:r>
        <w:t>ISO/IEC6523-2-0188-7010401018377（→意味：法人番号で帝国データバンク）</w:t>
      </w:r>
    </w:p>
    <w:p w14:paraId="4F311C7C" w14:textId="77777777" w:rsidR="00F44CCF" w:rsidRDefault="00F44CCF" w:rsidP="00F44CCF">
      <w:r>
        <w:t>ISO/IEC6523-2-0170-985732401（→意味：TDB企業CDで富士通）</w:t>
      </w:r>
    </w:p>
    <w:p w14:paraId="2A1E9D96" w14:textId="6B5BC33A" w:rsidR="00F44CCF" w:rsidRDefault="00F44CCF" w:rsidP="00F44CCF">
      <w:pPr>
        <w:rPr>
          <w:rFonts w:hint="eastAsia"/>
        </w:rPr>
      </w:pPr>
      <w:r w:rsidRPr="002000A8">
        <w:rPr>
          <w:sz w:val="36"/>
          <w:szCs w:val="36"/>
        </w:rPr>
        <w:t>A</w:t>
      </w:r>
      <w:r w:rsidRPr="00F44CCF">
        <w:rPr>
          <w:rFonts w:asciiTheme="majorHAnsi" w:eastAsiaTheme="majorHAnsi" w:hAnsiTheme="majorHAnsi" w:hint="eastAsia"/>
        </w:rPr>
        <w:t xml:space="preserve"> </w:t>
      </w:r>
      <w:r w:rsidRPr="00F44CCF">
        <w:rPr>
          <w:rFonts w:asciiTheme="majorHAnsi" w:eastAsiaTheme="majorHAnsi" w:hAnsiTheme="majorHAnsi"/>
        </w:rPr>
        <w:t xml:space="preserve">(S) </w:t>
      </w:r>
      <w:r>
        <w:t>適格請求書発行事業者登録番号の他に、jBG-4 受注者を時期別するために設定可能なデータ項目には、次のようなものがあります。jBT-32「受注者の適格請求書発行事業者登録番号」以外のどの項目に何をどう設定するかはこれから皆様と調整させていただくことになります。</w:t>
      </w:r>
    </w:p>
    <w:p w14:paraId="7390437A" w14:textId="77777777" w:rsidR="00F44CCF" w:rsidRDefault="00F44CCF" w:rsidP="00F44CCF">
      <w:r>
        <w:t>jBG-4 受注者</w:t>
      </w:r>
    </w:p>
    <w:p w14:paraId="0079A42C" w14:textId="77777777" w:rsidR="00F44CCF" w:rsidRDefault="00F44CCF" w:rsidP="00F44CCF">
      <w:r>
        <w:t>jBT-29</w:t>
      </w:r>
      <w:r>
        <w:tab/>
        <w:t>受注者コード</w:t>
      </w:r>
      <w:r>
        <w:tab/>
        <w:t>注文を受ける企業/工場・事業所・事業部門等を表すコード</w:t>
      </w:r>
    </w:p>
    <w:p w14:paraId="559BE168" w14:textId="77777777" w:rsidR="00F44CCF" w:rsidRDefault="00F44CCF" w:rsidP="00F44CCF">
      <w:r>
        <w:t>jBT-30</w:t>
      </w:r>
      <w:r>
        <w:tab/>
        <w:t>受注者国際企業コード</w:t>
      </w:r>
      <w:r>
        <w:tab/>
        <w:t>注文を受ける企業を表す国際企業コード中小企業共通EDIでは法人番号を利用</w:t>
      </w:r>
    </w:p>
    <w:p w14:paraId="5823402D" w14:textId="77777777" w:rsidR="00F44CCF" w:rsidRDefault="00F44CCF" w:rsidP="00F44CCF">
      <w:pPr>
        <w:rPr>
          <w:lang w:eastAsia="zh-TW"/>
        </w:rPr>
      </w:pPr>
      <w:r>
        <w:rPr>
          <w:lang w:eastAsia="zh-TW"/>
        </w:rPr>
        <w:t>jBT-31</w:t>
      </w:r>
      <w:r>
        <w:rPr>
          <w:lang w:eastAsia="zh-TW"/>
        </w:rPr>
        <w:tab/>
        <w:t>受注者消費税識別子</w:t>
      </w:r>
      <w:r>
        <w:rPr>
          <w:lang w:eastAsia="zh-TW"/>
        </w:rPr>
        <w:tab/>
        <w:t xml:space="preserve">　</w:t>
      </w:r>
    </w:p>
    <w:p w14:paraId="5B61EB24" w14:textId="77777777" w:rsidR="00F44CCF" w:rsidRDefault="00F44CCF" w:rsidP="00F44CCF">
      <w:r>
        <w:t>jBT-32</w:t>
      </w:r>
      <w:r>
        <w:tab/>
        <w:t>受注者の適格請求書発行事業者登録番号</w:t>
      </w:r>
      <w:r>
        <w:rPr>
          <w:rFonts w:hint="eastAsia"/>
        </w:rPr>
        <w:t xml:space="preserve"> </w:t>
      </w:r>
      <w:r>
        <w:t>登録された請求者の適格請求書発行事業者登録番号</w:t>
      </w:r>
    </w:p>
    <w:p w14:paraId="5686BA64" w14:textId="77777777" w:rsidR="00F44CCF" w:rsidRDefault="00F44CCF" w:rsidP="00F44CCF">
      <w:pPr>
        <w:rPr>
          <w:lang w:eastAsia="zh-TW"/>
        </w:rPr>
      </w:pPr>
      <w:r>
        <w:rPr>
          <w:lang w:eastAsia="zh-TW"/>
        </w:rPr>
        <w:t>jBT-33</w:t>
      </w:r>
      <w:r>
        <w:rPr>
          <w:lang w:eastAsia="zh-TW"/>
        </w:rPr>
        <w:tab/>
        <w:t>受注者追加法的情報</w:t>
      </w:r>
      <w:r>
        <w:rPr>
          <w:lang w:eastAsia="zh-TW"/>
        </w:rPr>
        <w:tab/>
        <w:t xml:space="preserve">　</w:t>
      </w:r>
    </w:p>
    <w:p w14:paraId="09A960E7" w14:textId="77777777" w:rsidR="00F44CCF" w:rsidRDefault="00F44CCF" w:rsidP="00F44CCF">
      <w:pPr>
        <w:rPr>
          <w:rFonts w:hint="eastAsia"/>
        </w:rPr>
      </w:pPr>
      <w:r>
        <w:t>jBT-34</w:t>
      </w:r>
      <w:r>
        <w:tab/>
        <w:t>受注者電子機器アドレス スキーム識別子</w:t>
      </w:r>
      <w:r>
        <w:rPr>
          <w:rFonts w:hint="eastAsia"/>
        </w:rPr>
        <w:t xml:space="preserve"> </w:t>
      </w:r>
      <w:r>
        <w:t>請求書に対するアプリケーションレベルの応答が配信される受注者の電子アドレスを識別</w:t>
      </w:r>
    </w:p>
    <w:p w14:paraId="41F737D6" w14:textId="77777777" w:rsidR="00F44CCF" w:rsidRDefault="00F44CCF" w:rsidP="00F44CCF">
      <w:r>
        <w:t>例えば、BT-29 受注者の識別子についてEN 16931−１では、</w:t>
      </w:r>
    </w:p>
    <w:p w14:paraId="4425F63E" w14:textId="77777777" w:rsidR="00F44CCF" w:rsidRDefault="00F44CCF" w:rsidP="00F44CCF">
      <w:r>
        <w:t>「受注者識別子の識別スキーム識別子。使用する場合、識別スキーム識別子は、ISO / IEC6523保守機関によって公開されたリストのエントリから選択する必要があります。」としています。</w:t>
      </w:r>
    </w:p>
    <w:p w14:paraId="7F6478C5" w14:textId="77777777" w:rsidR="00F44CCF" w:rsidRDefault="00F44CCF" w:rsidP="00F44CCF">
      <w:r>
        <w:t>「国税庁の国際標準規格に基づく発番機関登録について」</w:t>
      </w:r>
    </w:p>
    <w:p w14:paraId="4C7A0C03" w14:textId="77777777" w:rsidR="00F44CCF" w:rsidRDefault="00F44CCF" w:rsidP="00F44CCF">
      <w:r>
        <w:t>https://www.nta.go.jp/taxes/tetsuzuki/mynumberinfo/houjinbangou/hatsubankikan.htm</w:t>
      </w:r>
    </w:p>
    <w:p w14:paraId="012B9F0B" w14:textId="77777777" w:rsidR="00F44CCF" w:rsidRDefault="00F44CCF" w:rsidP="00F44CCF">
      <w:r>
        <w:t>にあるように、国税庁が発番機関登録した国際標準規格は、</w:t>
      </w:r>
    </w:p>
    <w:p w14:paraId="01811535" w14:textId="77777777" w:rsidR="00F44CCF" w:rsidRDefault="00F44CCF" w:rsidP="00F44CCF">
      <w:r>
        <w:rPr>
          <w:noProof/>
        </w:rPr>
        <w:drawing>
          <wp:inline distT="114300" distB="114300" distL="114300" distR="114300" wp14:anchorId="559D9664" wp14:editId="199F67F3">
            <wp:extent cx="139700" cy="139700"/>
            <wp:effectExtent l="0" t="0" r="0" b="0"/>
            <wp:docPr id="1" name="image1.gif" descr="1"/>
            <wp:cNvGraphicFramePr/>
            <a:graphic xmlns:a="http://schemas.openxmlformats.org/drawingml/2006/main">
              <a:graphicData uri="http://schemas.openxmlformats.org/drawingml/2006/picture">
                <pic:pic xmlns:pic="http://schemas.openxmlformats.org/drawingml/2006/picture">
                  <pic:nvPicPr>
                    <pic:cNvPr id="0" name="image1.gif" descr="1"/>
                    <pic:cNvPicPr preferRelativeResize="0"/>
                  </pic:nvPicPr>
                  <pic:blipFill>
                    <a:blip r:embed="rId10"/>
                    <a:srcRect/>
                    <a:stretch>
                      <a:fillRect/>
                    </a:stretch>
                  </pic:blipFill>
                  <pic:spPr>
                    <a:xfrm>
                      <a:off x="0" y="0"/>
                      <a:ext cx="139700" cy="139700"/>
                    </a:xfrm>
                    <a:prstGeom prst="rect">
                      <a:avLst/>
                    </a:prstGeom>
                    <a:ln/>
                  </pic:spPr>
                </pic:pic>
              </a:graphicData>
            </a:graphic>
          </wp:inline>
        </w:drawing>
      </w:r>
      <w:r>
        <w:t>UN/EDIFACTデータエレメント3055、</w:t>
      </w:r>
      <w:r>
        <w:rPr>
          <w:noProof/>
        </w:rPr>
        <w:drawing>
          <wp:inline distT="114300" distB="114300" distL="114300" distR="114300" wp14:anchorId="1363A527" wp14:editId="70C394C5">
            <wp:extent cx="139700" cy="139700"/>
            <wp:effectExtent l="0" t="0" r="0" b="0"/>
            <wp:docPr id="3" name="image2.gif" descr="2"/>
            <wp:cNvGraphicFramePr/>
            <a:graphic xmlns:a="http://schemas.openxmlformats.org/drawingml/2006/main">
              <a:graphicData uri="http://schemas.openxmlformats.org/drawingml/2006/picture">
                <pic:pic xmlns:pic="http://schemas.openxmlformats.org/drawingml/2006/picture">
                  <pic:nvPicPr>
                    <pic:cNvPr id="0" name="image2.gif" descr="2"/>
                    <pic:cNvPicPr preferRelativeResize="0"/>
                  </pic:nvPicPr>
                  <pic:blipFill>
                    <a:blip r:embed="rId11"/>
                    <a:srcRect/>
                    <a:stretch>
                      <a:fillRect/>
                    </a:stretch>
                  </pic:blipFill>
                  <pic:spPr>
                    <a:xfrm>
                      <a:off x="0" y="0"/>
                      <a:ext cx="139700" cy="139700"/>
                    </a:xfrm>
                    <a:prstGeom prst="rect">
                      <a:avLst/>
                    </a:prstGeom>
                    <a:ln/>
                  </pic:spPr>
                </pic:pic>
              </a:graphicData>
            </a:graphic>
          </wp:inline>
        </w:drawing>
      </w:r>
      <w:r>
        <w:t>ISO/IEC 6523-2及び</w:t>
      </w:r>
      <w:r>
        <w:rPr>
          <w:noProof/>
        </w:rPr>
        <w:drawing>
          <wp:inline distT="114300" distB="114300" distL="114300" distR="114300" wp14:anchorId="1A2F2DF9" wp14:editId="1F036C38">
            <wp:extent cx="139700" cy="139700"/>
            <wp:effectExtent l="0" t="0" r="0" b="0"/>
            <wp:docPr id="2" name="image3.gif" descr="3"/>
            <wp:cNvGraphicFramePr/>
            <a:graphic xmlns:a="http://schemas.openxmlformats.org/drawingml/2006/main">
              <a:graphicData uri="http://schemas.openxmlformats.org/drawingml/2006/picture">
                <pic:pic xmlns:pic="http://schemas.openxmlformats.org/drawingml/2006/picture">
                  <pic:nvPicPr>
                    <pic:cNvPr id="0" name="image3.gif" descr="3"/>
                    <pic:cNvPicPr preferRelativeResize="0"/>
                  </pic:nvPicPr>
                  <pic:blipFill>
                    <a:blip r:embed="rId12"/>
                    <a:srcRect/>
                    <a:stretch>
                      <a:fillRect/>
                    </a:stretch>
                  </pic:blipFill>
                  <pic:spPr>
                    <a:xfrm>
                      <a:off x="0" y="0"/>
                      <a:ext cx="139700" cy="139700"/>
                    </a:xfrm>
                    <a:prstGeom prst="rect">
                      <a:avLst/>
                    </a:prstGeom>
                    <a:ln/>
                  </pic:spPr>
                </pic:pic>
              </a:graphicData>
            </a:graphic>
          </wp:inline>
        </w:drawing>
      </w:r>
      <w:r>
        <w:t>ISO/IEC 15459-2の3つです。</w:t>
      </w:r>
    </w:p>
    <w:p w14:paraId="50174C2D" w14:textId="77777777" w:rsidR="00F44CCF" w:rsidRPr="002820E6" w:rsidRDefault="00F44CCF" w:rsidP="00F44CCF">
      <w:pPr>
        <w:rPr>
          <w:rFonts w:hint="eastAsia"/>
        </w:rPr>
      </w:pPr>
      <w:r>
        <w:lastRenderedPageBreak/>
        <w:t>このうち、ISO/IEC 6523-2が該当しますので、共通の企業コードとして国税庁発行の法人番号を設定することができます。</w:t>
      </w:r>
    </w:p>
    <w:p w14:paraId="28D228FC" w14:textId="77777777" w:rsidR="00F44CCF" w:rsidRDefault="00F44CCF" w:rsidP="00F44CCF">
      <w:pPr>
        <w:pStyle w:val="1"/>
        <w:rPr>
          <w:rFonts w:hint="eastAsia"/>
        </w:rPr>
      </w:pPr>
      <w:r>
        <w:rPr>
          <w:rFonts w:hint="eastAsia"/>
        </w:rPr>
        <w:t>コード表</w:t>
      </w:r>
    </w:p>
    <w:p w14:paraId="217B137B" w14:textId="77777777" w:rsidR="00F44CCF" w:rsidRDefault="00F44CCF" w:rsidP="00F44CCF">
      <w:r w:rsidRPr="00B42BEA">
        <w:rPr>
          <w:sz w:val="36"/>
          <w:szCs w:val="36"/>
        </w:rPr>
        <w:t>Q</w:t>
      </w:r>
      <w:r>
        <w:rPr>
          <w:rFonts w:hint="eastAsia"/>
        </w:rPr>
        <w:t xml:space="preserve"> どんなコード表が使われていますか。</w:t>
      </w:r>
    </w:p>
    <w:p w14:paraId="09A7178D" w14:textId="73A5DC23" w:rsidR="00F44CCF" w:rsidRPr="00B42BEA" w:rsidRDefault="00F44CCF" w:rsidP="00F44CCF">
      <w:pPr>
        <w:rPr>
          <w:rFonts w:hint="eastAsia"/>
          <w:color w:val="1155CC"/>
          <w:u w:val="single"/>
        </w:rPr>
      </w:pPr>
      <w:r w:rsidRPr="00B42BEA">
        <w:rPr>
          <w:sz w:val="36"/>
          <w:szCs w:val="36"/>
        </w:rPr>
        <w:t>A</w:t>
      </w:r>
      <w:r w:rsidRPr="00B42BEA">
        <w:rPr>
          <w:rFonts w:hint="eastAsia"/>
          <w:sz w:val="36"/>
          <w:szCs w:val="36"/>
        </w:rPr>
        <w:t xml:space="preserve"> </w:t>
      </w:r>
      <w:r>
        <w:rPr>
          <w:rFonts w:asciiTheme="majorHAnsi" w:eastAsiaTheme="majorHAnsi" w:hAnsiTheme="majorHAnsi" w:hint="eastAsia"/>
        </w:rPr>
        <w:t>(</w:t>
      </w:r>
      <w:r>
        <w:rPr>
          <w:rFonts w:asciiTheme="majorHAnsi" w:eastAsiaTheme="majorHAnsi" w:hAnsiTheme="majorHAnsi"/>
        </w:rPr>
        <w:t xml:space="preserve">S) </w:t>
      </w:r>
      <w:r>
        <w:rPr>
          <w:rFonts w:hint="eastAsia"/>
        </w:rPr>
        <w:t>ENの</w:t>
      </w:r>
      <w:r>
        <w:fldChar w:fldCharType="begin"/>
      </w:r>
      <w:r>
        <w:instrText xml:space="preserve"> HYPERLINK "https://drive.google.com/file/d/1lLlVkPCvNf_QjIWwt0N2YHYLlAPyqZjO/view?usp=sharing" \h </w:instrText>
      </w:r>
      <w:r>
        <w:fldChar w:fldCharType="separate"/>
      </w:r>
      <w:r>
        <w:rPr>
          <w:color w:val="1155CC"/>
          <w:u w:val="single"/>
        </w:rPr>
        <w:t>コード表</w:t>
      </w:r>
      <w:r>
        <w:rPr>
          <w:color w:val="1155CC"/>
          <w:u w:val="single"/>
        </w:rPr>
        <w:fldChar w:fldCharType="end"/>
      </w:r>
      <w:r w:rsidR="00914C55">
        <w:rPr>
          <w:rFonts w:hint="eastAsia"/>
        </w:rPr>
        <w:t>では、</w:t>
      </w:r>
      <w:r>
        <w:rPr>
          <w:rFonts w:hint="eastAsia"/>
        </w:rPr>
        <w:t>次のようなコードが使われています。</w:t>
      </w:r>
    </w:p>
    <w:p w14:paraId="6A3F22BC" w14:textId="77777777" w:rsidR="00F44CCF" w:rsidRDefault="00F44CCF" w:rsidP="00F44CCF">
      <w:proofErr w:type="spellStart"/>
      <w:r>
        <w:t>Alloawnce</w:t>
      </w:r>
      <w:proofErr w:type="spellEnd"/>
      <w:r>
        <w:t xml:space="preserve"> code etc.</w:t>
      </w:r>
    </w:p>
    <w:p w14:paraId="13246E13" w14:textId="77777777" w:rsidR="00F44CCF" w:rsidRDefault="00F44CCF" w:rsidP="00F44CCF">
      <w:hyperlink r:id="rId13">
        <w:r>
          <w:rPr>
            <w:color w:val="1155CC"/>
            <w:u w:val="single"/>
          </w:rPr>
          <w:t>UN/EDIFACT D.16B - Data Element [5189] (unece.org)</w:t>
        </w:r>
      </w:hyperlink>
    </w:p>
    <w:p w14:paraId="779F9854" w14:textId="77777777" w:rsidR="00F44CCF" w:rsidRDefault="00F44CCF" w:rsidP="00F44CCF">
      <w:pPr>
        <w:rPr>
          <w:rFonts w:hint="eastAsia"/>
        </w:rPr>
      </w:pPr>
      <w:r>
        <w:t>TAX   DUTY/TAX/FEE DETAIL</w:t>
      </w:r>
    </w:p>
    <w:p w14:paraId="40A3CF05" w14:textId="77777777" w:rsidR="00F44CCF" w:rsidRDefault="00F44CCF" w:rsidP="00F44CCF">
      <w:hyperlink r:id="rId14">
        <w:r>
          <w:rPr>
            <w:color w:val="1155CC"/>
            <w:u w:val="single"/>
          </w:rPr>
          <w:t>https://service.unece.org/trade/untdid/d97a/trsd/trsdtax.htm</w:t>
        </w:r>
      </w:hyperlink>
    </w:p>
    <w:p w14:paraId="6749BA12" w14:textId="77777777" w:rsidR="00F44CCF" w:rsidRDefault="00F44CCF" w:rsidP="00F44CCF">
      <w:hyperlink r:id="rId15">
        <w:r>
          <w:rPr>
            <w:color w:val="1155CC"/>
            <w:u w:val="single"/>
          </w:rPr>
          <w:t>5283</w:t>
        </w:r>
      </w:hyperlink>
      <w:r>
        <w:t xml:space="preserve">  DUTY/TAX/FEE FUNCTION QUALIFIER</w:t>
      </w:r>
    </w:p>
    <w:p w14:paraId="12743AC7" w14:textId="77777777" w:rsidR="00F44CCF" w:rsidRDefault="00F44CCF" w:rsidP="00F44CCF">
      <w:r>
        <w:t>義務・税・料金情報の機能を識別するコード</w:t>
      </w:r>
    </w:p>
    <w:p w14:paraId="0FFFAFE6" w14:textId="77777777" w:rsidR="00F44CCF" w:rsidRDefault="00F44CCF" w:rsidP="00F44CCF">
      <w:hyperlink r:id="rId16">
        <w:r>
          <w:rPr>
            <w:color w:val="1155CC"/>
            <w:u w:val="single"/>
          </w:rPr>
          <w:t>5305</w:t>
        </w:r>
      </w:hyperlink>
      <w:r>
        <w:t xml:space="preserve">  DUTY/TAX/FEE CATEGORY, CODED</w:t>
      </w:r>
    </w:p>
    <w:p w14:paraId="621B5857" w14:textId="3CFB1B1C" w:rsidR="00F44CCF" w:rsidRDefault="00F44CCF" w:rsidP="00F44CCF">
      <w:pPr>
        <w:rPr>
          <w:rFonts w:hint="eastAsia"/>
        </w:rPr>
      </w:pPr>
      <w:r>
        <w:t>税・関税・手数料の種類のシステムの中で、税・関税・手数料のカテゴリーを識別するコード。</w:t>
      </w:r>
    </w:p>
    <w:p w14:paraId="4E18FBBD" w14:textId="77777777" w:rsidR="00F44CCF" w:rsidRDefault="00F44CCF" w:rsidP="00F44CCF">
      <w:pPr>
        <w:rPr>
          <w:lang w:eastAsia="zh-TW"/>
        </w:rPr>
      </w:pPr>
      <w:bookmarkStart w:id="3" w:name="_ohh5i0k33aoa" w:colFirst="0" w:colLast="0"/>
      <w:bookmarkStart w:id="4" w:name="_uwo1cze12u4c" w:colFirst="0" w:colLast="0"/>
      <w:bookmarkStart w:id="5" w:name="_7k358yd7e3sa" w:colFirst="0" w:colLast="0"/>
      <w:bookmarkEnd w:id="3"/>
      <w:bookmarkEnd w:id="4"/>
      <w:bookmarkEnd w:id="5"/>
      <w:r>
        <w:rPr>
          <w:lang w:eastAsia="zh-TW"/>
        </w:rPr>
        <w:t>[2020-12-14]　BT-158A　品目分類識別子</w:t>
      </w:r>
    </w:p>
    <w:p w14:paraId="2F7E5E59" w14:textId="77777777" w:rsidR="00F44CCF" w:rsidRPr="00B42BEA" w:rsidRDefault="00F44CCF" w:rsidP="00F44CCF">
      <w:pPr>
        <w:rPr>
          <w:rFonts w:hint="eastAsia"/>
          <w:color w:val="1155CC"/>
          <w:u w:val="single"/>
        </w:rPr>
      </w:pPr>
      <w:hyperlink r:id="rId17">
        <w:r w:rsidRPr="002820E6">
          <w:rPr>
            <w:color w:val="1155CC"/>
            <w:u w:val="single"/>
          </w:rPr>
          <w:t>PEPPOL BIS Billing 3.0 | Item type identification code (UNCL7143)</w:t>
        </w:r>
      </w:hyperlink>
    </w:p>
    <w:p w14:paraId="1DF64A43" w14:textId="77777777" w:rsidR="00F44CCF" w:rsidRDefault="00F44CCF" w:rsidP="00F44CCF">
      <w:pPr>
        <w:pStyle w:val="1"/>
      </w:pPr>
      <w:bookmarkStart w:id="6" w:name="_maofzbafdlmr" w:colFirst="0" w:colLast="0"/>
      <w:bookmarkEnd w:id="6"/>
      <w:r>
        <w:t>電子レシート対応</w:t>
      </w:r>
    </w:p>
    <w:p w14:paraId="0C8B9C39" w14:textId="3EDB5F05" w:rsidR="00F44CCF" w:rsidRDefault="00914C55" w:rsidP="00F44CCF">
      <w:pPr>
        <w:rPr>
          <w:rFonts w:hint="eastAsia"/>
        </w:rPr>
      </w:pPr>
      <w:r>
        <w:rPr>
          <w:rFonts w:asciiTheme="majorHAnsi" w:eastAsiaTheme="majorHAnsi" w:hAnsiTheme="majorHAnsi"/>
        </w:rPr>
        <w:t xml:space="preserve">(K) </w:t>
      </w:r>
      <w:r w:rsidR="00F44CCF">
        <w:rPr>
          <w:rFonts w:hint="eastAsia"/>
        </w:rPr>
        <w:t>電</w:t>
      </w:r>
      <w:r w:rsidR="00F44CCF">
        <w:t>子レシート対応につてはまだ検討が始まっていませんが、UBL対応のためにクレジット関連の情報項目組み込みを検討します。</w:t>
      </w:r>
    </w:p>
    <w:p w14:paraId="62F4ECCE" w14:textId="77777777" w:rsidR="00F44CCF" w:rsidRDefault="00F44CCF" w:rsidP="00F44CCF">
      <w:pPr>
        <w:pStyle w:val="1"/>
      </w:pPr>
      <w:r>
        <w:t>明細部参照文書の識別キーについて</w:t>
      </w:r>
    </w:p>
    <w:p w14:paraId="692D7A38" w14:textId="4C6603BF" w:rsidR="00F44CCF" w:rsidRPr="00CD3931" w:rsidRDefault="00F44CCF" w:rsidP="00F44CCF">
      <w:pPr>
        <w:rPr>
          <w:rFonts w:hint="eastAsia"/>
        </w:rPr>
      </w:pPr>
      <w:r w:rsidRPr="00CD3931">
        <w:rPr>
          <w:rFonts w:hint="eastAsia"/>
          <w:sz w:val="36"/>
          <w:szCs w:val="36"/>
        </w:rPr>
        <w:t>Q</w:t>
      </w:r>
      <w:r>
        <w:rPr>
          <w:rFonts w:hint="eastAsia"/>
        </w:rPr>
        <w:t xml:space="preserve"> </w:t>
      </w:r>
      <w:r w:rsidR="00914C55">
        <w:rPr>
          <w:rFonts w:asciiTheme="majorHAnsi" w:eastAsiaTheme="majorHAnsi" w:hAnsiTheme="majorHAnsi" w:hint="eastAsia"/>
        </w:rPr>
        <w:t>(</w:t>
      </w:r>
      <w:r w:rsidR="00914C55">
        <w:rPr>
          <w:rFonts w:asciiTheme="majorHAnsi" w:eastAsiaTheme="majorHAnsi" w:hAnsiTheme="majorHAnsi"/>
        </w:rPr>
        <w:t xml:space="preserve">S) </w:t>
      </w:r>
      <w:r>
        <w:t>改定Excelの234行jBT-272以降の参照文書は、33行以降に文書単位で記載し、明細行では、参照する明細行のみとしたいのですが。同じ内容が複数の明細行に繰り返されるとメッセージサイズが大きくなりますし、構造が分かりにくくなります。また、233行jBT-271明細行契約とした項目も契約書の明細行への参照でしょうか。</w:t>
      </w:r>
      <w:r>
        <w:rPr>
          <w:highlight w:val="white"/>
        </w:rPr>
        <w:t>ENでは文書参照</w:t>
      </w:r>
      <w:r>
        <w:rPr>
          <w:rFonts w:hint="eastAsia"/>
          <w:highlight w:val="white"/>
        </w:rPr>
        <w:t>番号</w:t>
      </w:r>
      <w:r>
        <w:rPr>
          <w:highlight w:val="white"/>
        </w:rPr>
        <w:t>のみだ</w:t>
      </w:r>
      <w:r>
        <w:rPr>
          <w:rFonts w:hint="eastAsia"/>
          <w:highlight w:val="white"/>
        </w:rPr>
        <w:t>が</w:t>
      </w:r>
      <w:r>
        <w:rPr>
          <w:highlight w:val="white"/>
        </w:rPr>
        <w:t>、日本版では、文書番号以外に発行日、文書名、履歴番号を記載 (契約文書、注文書、受注書、出荷案内書)している。</w:t>
      </w:r>
      <w:r>
        <w:rPr>
          <w:rFonts w:hint="eastAsia"/>
        </w:rPr>
        <w:t>例えば、</w:t>
      </w:r>
      <w:r w:rsidRPr="00B42BEA">
        <w:t>BT-132 Referenced purchase order line reference</w:t>
      </w:r>
      <w:r>
        <w:rPr>
          <w:rFonts w:hint="eastAsia"/>
        </w:rPr>
        <w:t>について</w:t>
      </w:r>
      <w:r>
        <w:t>ENでは、BT-13</w:t>
      </w:r>
      <w:r>
        <w:rPr>
          <w:rFonts w:hint="eastAsia"/>
        </w:rPr>
        <w:t xml:space="preserve"> </w:t>
      </w:r>
      <w:r>
        <w:t>Purchase order reference で記載した参照する発注書の参照との関係は、An identifier for a referenced line within a purchase order, issued by the Buyer. The purchase order identifier is referenced on document level.とされているので文書全体の箇所で参照した発注書の明細行を指定する情報</w:t>
      </w:r>
      <w:r>
        <w:rPr>
          <w:rFonts w:hint="eastAsia"/>
        </w:rPr>
        <w:t>です</w:t>
      </w:r>
      <w:r>
        <w:t>。</w:t>
      </w:r>
    </w:p>
    <w:p w14:paraId="10B698F4" w14:textId="12E2EDEF" w:rsidR="00F44CCF" w:rsidRDefault="00F44CCF" w:rsidP="00F44CCF">
      <w:r w:rsidRPr="00CD3931">
        <w:rPr>
          <w:rFonts w:hint="eastAsia"/>
          <w:sz w:val="36"/>
          <w:szCs w:val="36"/>
        </w:rPr>
        <w:lastRenderedPageBreak/>
        <w:t>A</w:t>
      </w:r>
      <w:r w:rsidRPr="00CD3931">
        <w:rPr>
          <w:rFonts w:hint="eastAsia"/>
        </w:rPr>
        <w:t xml:space="preserve"> </w:t>
      </w:r>
      <w:r w:rsidR="00914C55" w:rsidRPr="00914C55">
        <w:rPr>
          <w:rFonts w:asciiTheme="majorHAnsi" w:eastAsiaTheme="majorHAnsi" w:hAnsiTheme="majorHAnsi"/>
        </w:rPr>
        <w:t xml:space="preserve">(K) </w:t>
      </w:r>
      <w:r>
        <w:t>識別キーを行番号のみとするためには、明細行が所属する参照文書を識別する手段が必要です。ヘッダ部の参照文書はエビデンス候補として次の2つがあります。</w:t>
      </w:r>
    </w:p>
    <w:p w14:paraId="48167D9D" w14:textId="77777777" w:rsidR="00F44CCF" w:rsidRDefault="00F44CCF" w:rsidP="00F44CCF">
      <w:r>
        <w:t>・注文書or受注書</w:t>
      </w:r>
    </w:p>
    <w:p w14:paraId="21DDD9FC" w14:textId="77777777" w:rsidR="00F44CCF" w:rsidRDefault="00F44CCF" w:rsidP="00F44CCF">
      <w:r>
        <w:t>・出荷案内書</w:t>
      </w:r>
    </w:p>
    <w:p w14:paraId="57006C3E" w14:textId="77777777" w:rsidR="00F44CCF" w:rsidRDefault="00F44CCF" w:rsidP="00F44CCF">
      <w:r>
        <w:t>この2つの情報項目にデータが存在し、この2つの文書番号が異なる場合は、明細行参照文書の行番号だけではどちらの文書の行番号を指定したのかが判別できなくなります。ヘッダ部の参照文書にエビデンス指定フラグなどを追加すれば、明細行参照は、行番号のみでも可能になりますが、業務アプリ側が対応してくれるか懸念が残ります。これらを考慮して明細行の参照文書にヘッダ部と明細部のキー情報項目をセットで挿入し、この明細行のエビデンス文書を特定できるようにしました。</w:t>
      </w:r>
    </w:p>
    <w:p w14:paraId="46455C3E" w14:textId="77777777" w:rsidR="00F44CCF" w:rsidRPr="00CD3931" w:rsidRDefault="00F44CCF" w:rsidP="00F44CCF">
      <w:pPr>
        <w:rPr>
          <w:rFonts w:hint="eastAsia"/>
        </w:rPr>
      </w:pPr>
      <w:r>
        <w:t>なお参照文書をユニークにするキー情報項目以外の情報項目については、削除することを検討します。</w:t>
      </w:r>
    </w:p>
    <w:p w14:paraId="6DF08891" w14:textId="77777777" w:rsidR="00F44CCF" w:rsidRDefault="00F44CCF" w:rsidP="00F44CCF">
      <w:pPr>
        <w:rPr>
          <w:highlight w:val="white"/>
        </w:rPr>
      </w:pPr>
      <w:r>
        <w:rPr>
          <w:highlight w:val="white"/>
        </w:rPr>
        <w:t>参照キーとして必要になるのは文書番号ですが、注文変更を枝番で管理しているケースが多くあるので、履歴番号を参照キーとして</w:t>
      </w:r>
    </w:p>
    <w:p w14:paraId="3FB41EE8" w14:textId="77777777" w:rsidR="00F44CCF" w:rsidRDefault="00F44CCF" w:rsidP="00F44CCF">
      <w:pPr>
        <w:rPr>
          <w:highlight w:val="white"/>
        </w:rPr>
      </w:pPr>
      <w:r>
        <w:rPr>
          <w:highlight w:val="white"/>
        </w:rPr>
        <w:t>追加しています。（■表記）</w:t>
      </w:r>
    </w:p>
    <w:p w14:paraId="7C128A69" w14:textId="77777777" w:rsidR="00F44CCF" w:rsidRDefault="00F44CCF" w:rsidP="00F44CCF">
      <w:pPr>
        <w:rPr>
          <w:highlight w:val="white"/>
        </w:rPr>
      </w:pPr>
      <w:r>
        <w:rPr>
          <w:highlight w:val="white"/>
        </w:rPr>
        <w:t>文書名や発効日は無くても良いと考えます。</w:t>
      </w:r>
    </w:p>
    <w:p w14:paraId="6E54E011" w14:textId="77777777" w:rsidR="00F44CCF" w:rsidRDefault="00F44CCF" w:rsidP="00F44CCF">
      <w:pPr>
        <w:rPr>
          <w:highlight w:val="white"/>
        </w:rPr>
      </w:pPr>
      <w:r>
        <w:rPr>
          <w:highlight w:val="white"/>
        </w:rPr>
        <w:t>今後、各業界が削除を了解すれば修正可能です。</w:t>
      </w:r>
    </w:p>
    <w:p w14:paraId="4924EB2E" w14:textId="77777777" w:rsidR="00F44CCF" w:rsidRDefault="00F44CCF" w:rsidP="00F44CCF">
      <w:pPr>
        <w:pStyle w:val="1"/>
      </w:pPr>
      <w:r w:rsidRPr="004A13D5">
        <w:rPr>
          <w:rFonts w:hint="eastAsia"/>
        </w:rPr>
        <w:t>住所</w:t>
      </w:r>
      <w:r w:rsidRPr="00EF3346">
        <w:rPr>
          <w:rFonts w:hint="eastAsia"/>
        </w:rPr>
        <w:t>の項目（工場や部門の指定方法）</w:t>
      </w:r>
    </w:p>
    <w:p w14:paraId="285F190E" w14:textId="4A6E520A" w:rsidR="00F44CCF" w:rsidRDefault="00F44CCF" w:rsidP="00F44CCF">
      <w:r w:rsidRPr="00CD3931">
        <w:rPr>
          <w:sz w:val="36"/>
          <w:szCs w:val="36"/>
        </w:rPr>
        <w:t>Q</w:t>
      </w:r>
      <w:r>
        <w:rPr>
          <w:rFonts w:hint="eastAsia"/>
        </w:rPr>
        <w:t xml:space="preserve"> </w:t>
      </w:r>
      <w:r w:rsidR="00914C55" w:rsidRPr="00914C55">
        <w:rPr>
          <w:rFonts w:asciiTheme="majorHAnsi" w:eastAsiaTheme="majorHAnsi" w:hAnsiTheme="majorHAnsi"/>
        </w:rPr>
        <w:t xml:space="preserve">(S) </w:t>
      </w:r>
      <w:r>
        <w:rPr>
          <w:highlight w:val="white"/>
        </w:rPr>
        <w:t>ENでは、郵送先住所を記載しているが、日本版では不要なのか。DELIVER TO ADDRESS　にも対応先がない。A-NZのBIS Billing解説書では、住所は、同じ登録番号を記入している事業者が支店、営業所、工場、倉庫などどことの取引かを区別するために有益だということです。</w:t>
      </w:r>
    </w:p>
    <w:p w14:paraId="635103A7" w14:textId="652574F6" w:rsidR="00F44CCF" w:rsidRDefault="00F44CCF" w:rsidP="00F44CCF">
      <w:pPr>
        <w:rPr>
          <w:highlight w:val="white"/>
        </w:rPr>
      </w:pPr>
      <w:r w:rsidRPr="00CD3931">
        <w:rPr>
          <w:rFonts w:hint="eastAsia"/>
          <w:sz w:val="36"/>
          <w:szCs w:val="36"/>
        </w:rPr>
        <w:t xml:space="preserve">A </w:t>
      </w:r>
      <w:r w:rsidR="00914C55" w:rsidRPr="00914C55">
        <w:rPr>
          <w:rFonts w:asciiTheme="majorHAnsi" w:eastAsiaTheme="majorHAnsi" w:hAnsiTheme="majorHAnsi"/>
        </w:rPr>
        <w:t xml:space="preserve">(K) </w:t>
      </w:r>
      <w:r>
        <w:rPr>
          <w:highlight w:val="white"/>
        </w:rPr>
        <w:t>PEPPOLは住所で支店、営業所、工場、倉庫を識別する方式であることは理解しました。我が国の大手業界EDIでは同じ目的で部門コードを設けて対応しています。中小企業共通EDIでは部門コード方式と住所方式のいずれでも対応できるようにするために注文メッセージと出荷案内メッセージには両方を組み込みましたが、請求では住所を削除しています。</w:t>
      </w:r>
    </w:p>
    <w:p w14:paraId="36060824" w14:textId="77777777" w:rsidR="00F44CCF" w:rsidRDefault="00F44CCF" w:rsidP="00F44CCF">
      <w:pPr>
        <w:rPr>
          <w:highlight w:val="white"/>
        </w:rPr>
      </w:pPr>
      <w:r>
        <w:rPr>
          <w:highlight w:val="white"/>
        </w:rPr>
        <w:t>住所等は共通EDI標準では注文情報や出荷案内情報ではメッセージに組込みましたが、請求では実務上利用しないと判断し、省略しています。もともと大手業界EDIでは注文情報にも住所等は全てのメッセージに組込んでおらず、中小企業共通EDIが追加した情報項目です。UBLとの対応で追加が適切ということであれば、追加は可能です。</w:t>
      </w:r>
    </w:p>
    <w:p w14:paraId="20732B31" w14:textId="77777777" w:rsidR="00F44CCF" w:rsidRDefault="00F44CCF" w:rsidP="00F44CCF">
      <w:pPr>
        <w:pStyle w:val="1"/>
        <w:rPr>
          <w:rFonts w:hint="eastAsia"/>
          <w:highlight w:val="white"/>
        </w:rPr>
      </w:pPr>
      <w:bookmarkStart w:id="7" w:name="_ybyl1jiezu92" w:colFirst="0" w:colLast="0"/>
      <w:bookmarkEnd w:id="7"/>
      <w:r w:rsidRPr="004A13D5">
        <w:rPr>
          <w:rFonts w:hint="eastAsia"/>
        </w:rPr>
        <w:t>DX</w:t>
      </w:r>
      <w:r>
        <w:rPr>
          <w:rFonts w:hint="eastAsia"/>
          <w:highlight w:val="white"/>
        </w:rPr>
        <w:t>対応の項目</w:t>
      </w:r>
    </w:p>
    <w:p w14:paraId="7D4CAFAB" w14:textId="03CB6D69" w:rsidR="00F44CCF" w:rsidRDefault="00F44CCF" w:rsidP="00F44CCF">
      <w:pPr>
        <w:rPr>
          <w:highlight w:val="white"/>
        </w:rPr>
      </w:pPr>
      <w:r w:rsidRPr="00B77129">
        <w:rPr>
          <w:sz w:val="36"/>
          <w:szCs w:val="36"/>
          <w:highlight w:val="white"/>
        </w:rPr>
        <w:t>Q</w:t>
      </w:r>
      <w:r>
        <w:rPr>
          <w:rFonts w:hint="eastAsia"/>
          <w:highlight w:val="white"/>
        </w:rPr>
        <w:t xml:space="preserve"> </w:t>
      </w:r>
      <w:r w:rsidR="00914C55" w:rsidRPr="00914C55">
        <w:rPr>
          <w:rFonts w:asciiTheme="majorHAnsi" w:eastAsiaTheme="majorHAnsi" w:hAnsiTheme="majorHAnsi"/>
          <w:highlight w:val="white"/>
        </w:rPr>
        <w:t xml:space="preserve">(S) </w:t>
      </w:r>
      <w:r>
        <w:rPr>
          <w:rFonts w:hint="eastAsia"/>
          <w:highlight w:val="white"/>
        </w:rPr>
        <w:t>次</w:t>
      </w:r>
      <w:r>
        <w:rPr>
          <w:highlight w:val="white"/>
        </w:rPr>
        <w:t>の参照文書IDは、自動消込みや業務の自動振り分けに使用されているように思える</w:t>
      </w:r>
      <w:r>
        <w:rPr>
          <w:rFonts w:hint="eastAsia"/>
          <w:highlight w:val="white"/>
        </w:rPr>
        <w:t>。</w:t>
      </w:r>
      <w:r>
        <w:rPr>
          <w:highlight w:val="white"/>
        </w:rPr>
        <w:t>日本版での使用方法を検討する必要あり。</w:t>
      </w:r>
    </w:p>
    <w:p w14:paraId="01FC2E28" w14:textId="77777777" w:rsidR="00F44CCF" w:rsidRPr="002820E6" w:rsidRDefault="00F44CCF" w:rsidP="00F44CCF">
      <w:pPr>
        <w:rPr>
          <w:highlight w:val="white"/>
        </w:rPr>
      </w:pPr>
      <w:r>
        <w:rPr>
          <w:rFonts w:hint="eastAsia"/>
          <w:highlight w:val="white"/>
        </w:rPr>
        <w:t>*</w:t>
      </w:r>
      <w:r w:rsidRPr="002820E6">
        <w:rPr>
          <w:highlight w:val="white"/>
        </w:rPr>
        <w:t xml:space="preserve"> BT-15</w:t>
      </w:r>
      <w:r>
        <w:rPr>
          <w:highlight w:val="white"/>
        </w:rPr>
        <w:t xml:space="preserve">　</w:t>
      </w:r>
      <w:r w:rsidRPr="002820E6">
        <w:rPr>
          <w:highlight w:val="white"/>
        </w:rPr>
        <w:t xml:space="preserve">Receiving advice reference             </w:t>
      </w:r>
    </w:p>
    <w:p w14:paraId="428371E6" w14:textId="77777777" w:rsidR="00F44CCF" w:rsidRPr="002820E6" w:rsidRDefault="00F44CCF" w:rsidP="00F44CCF">
      <w:pPr>
        <w:rPr>
          <w:highlight w:val="white"/>
        </w:rPr>
      </w:pPr>
      <w:r>
        <w:rPr>
          <w:rFonts w:hint="eastAsia"/>
          <w:highlight w:val="white"/>
        </w:rPr>
        <w:lastRenderedPageBreak/>
        <w:t>*</w:t>
      </w:r>
      <w:r w:rsidRPr="002820E6">
        <w:rPr>
          <w:highlight w:val="white"/>
        </w:rPr>
        <w:t xml:space="preserve"> BT-17</w:t>
      </w:r>
      <w:r>
        <w:rPr>
          <w:highlight w:val="white"/>
        </w:rPr>
        <w:t xml:space="preserve">　</w:t>
      </w:r>
      <w:r w:rsidRPr="002820E6">
        <w:rPr>
          <w:highlight w:val="white"/>
        </w:rPr>
        <w:t>Tender or lot reference</w:t>
      </w:r>
    </w:p>
    <w:p w14:paraId="47B55554" w14:textId="77777777" w:rsidR="00F44CCF" w:rsidRPr="002820E6" w:rsidRDefault="00F44CCF" w:rsidP="00F44CCF">
      <w:pPr>
        <w:rPr>
          <w:highlight w:val="white"/>
        </w:rPr>
      </w:pPr>
      <w:r>
        <w:rPr>
          <w:rFonts w:hint="eastAsia"/>
          <w:highlight w:val="white"/>
        </w:rPr>
        <w:t>*</w:t>
      </w:r>
      <w:r w:rsidRPr="002820E6">
        <w:rPr>
          <w:highlight w:val="white"/>
        </w:rPr>
        <w:t xml:space="preserve"> BT-18</w:t>
      </w:r>
      <w:r>
        <w:rPr>
          <w:highlight w:val="white"/>
        </w:rPr>
        <w:t xml:space="preserve">　</w:t>
      </w:r>
      <w:r w:rsidRPr="002820E6">
        <w:rPr>
          <w:highlight w:val="white"/>
        </w:rPr>
        <w:t>Invoiced object identifier Scheme identifier</w:t>
      </w:r>
    </w:p>
    <w:p w14:paraId="12976105" w14:textId="77777777" w:rsidR="00F44CCF" w:rsidRPr="002820E6" w:rsidRDefault="00F44CCF" w:rsidP="00F44CCF">
      <w:pPr>
        <w:rPr>
          <w:highlight w:val="white"/>
        </w:rPr>
      </w:pPr>
      <w:r>
        <w:rPr>
          <w:rFonts w:hint="eastAsia"/>
          <w:highlight w:val="white"/>
        </w:rPr>
        <w:t>*</w:t>
      </w:r>
      <w:r w:rsidRPr="002820E6">
        <w:rPr>
          <w:highlight w:val="white"/>
        </w:rPr>
        <w:t xml:space="preserve"> BT-19</w:t>
      </w:r>
      <w:r>
        <w:rPr>
          <w:highlight w:val="white"/>
        </w:rPr>
        <w:t xml:space="preserve">　</w:t>
      </w:r>
      <w:r w:rsidRPr="002820E6">
        <w:rPr>
          <w:highlight w:val="white"/>
        </w:rPr>
        <w:t>Buyer accounting reference</w:t>
      </w:r>
    </w:p>
    <w:p w14:paraId="5471A6B3" w14:textId="14F33636" w:rsidR="00F44CCF" w:rsidRDefault="00F44CCF" w:rsidP="00F44CCF">
      <w:pPr>
        <w:rPr>
          <w:highlight w:val="white"/>
        </w:rPr>
      </w:pPr>
      <w:r w:rsidRPr="00B77129">
        <w:rPr>
          <w:rFonts w:hint="eastAsia"/>
          <w:color w:val="500050"/>
          <w:sz w:val="36"/>
          <w:szCs w:val="36"/>
          <w:highlight w:val="white"/>
        </w:rPr>
        <w:t>A</w:t>
      </w:r>
      <w:r>
        <w:rPr>
          <w:rFonts w:hint="eastAsia"/>
          <w:color w:val="500050"/>
          <w:highlight w:val="white"/>
        </w:rPr>
        <w:t xml:space="preserve"> </w:t>
      </w:r>
      <w:r w:rsidR="00914C55" w:rsidRPr="00914C55">
        <w:rPr>
          <w:rFonts w:asciiTheme="majorHAnsi" w:eastAsiaTheme="majorHAnsi" w:hAnsiTheme="majorHAnsi"/>
          <w:color w:val="500050"/>
          <w:highlight w:val="white"/>
        </w:rPr>
        <w:t xml:space="preserve">(K) </w:t>
      </w:r>
      <w:r>
        <w:rPr>
          <w:highlight w:val="white"/>
        </w:rPr>
        <w:t>これらの情報項目の利用法が不明なため、マッピングしていません。まず利用法を日本の商習慣に反映する辞書が必要だと思います。その上でその要否は関係団体の意見ヒアリングの結果に従いたいと思います。</w:t>
      </w:r>
    </w:p>
    <w:p w14:paraId="27150F79" w14:textId="77777777" w:rsidR="00F44CCF" w:rsidRDefault="00F44CCF" w:rsidP="00F44CCF">
      <w:pPr>
        <w:pStyle w:val="1"/>
        <w:rPr>
          <w:highlight w:val="white"/>
        </w:rPr>
      </w:pPr>
      <w:r w:rsidRPr="00B77129">
        <w:rPr>
          <w:highlight w:val="white"/>
        </w:rPr>
        <w:t>事業者の対応関係</w:t>
      </w:r>
    </w:p>
    <w:p w14:paraId="6DFF64C1" w14:textId="6562F19A" w:rsidR="00F44CCF" w:rsidRPr="00B77129" w:rsidRDefault="00F44CCF" w:rsidP="00F44CCF">
      <w:pPr>
        <w:rPr>
          <w:rFonts w:hint="eastAsia"/>
          <w:highlight w:val="white"/>
        </w:rPr>
      </w:pPr>
      <w:r w:rsidRPr="00B77129">
        <w:rPr>
          <w:sz w:val="36"/>
          <w:szCs w:val="36"/>
          <w:highlight w:val="white"/>
        </w:rPr>
        <w:t>Q</w:t>
      </w:r>
      <w:r>
        <w:rPr>
          <w:rFonts w:hint="eastAsia"/>
          <w:highlight w:val="white"/>
        </w:rPr>
        <w:t xml:space="preserve"> </w:t>
      </w:r>
      <w:r w:rsidR="00914C55" w:rsidRPr="00914C55">
        <w:rPr>
          <w:rFonts w:asciiTheme="majorHAnsi" w:eastAsiaTheme="majorHAnsi" w:hAnsiTheme="majorHAnsi"/>
          <w:highlight w:val="white"/>
        </w:rPr>
        <w:t xml:space="preserve">(S) </w:t>
      </w:r>
      <w:r>
        <w:rPr>
          <w:rFonts w:hint="eastAsia"/>
          <w:highlight w:val="white"/>
        </w:rPr>
        <w:t>事業者の対応関係を定義したい</w:t>
      </w:r>
    </w:p>
    <w:p w14:paraId="79C92B1C" w14:textId="77777777" w:rsidR="00F44CCF" w:rsidRDefault="00F44CCF" w:rsidP="00F44CCF">
      <w:pPr>
        <w:rPr>
          <w:highlight w:val="white"/>
        </w:rPr>
      </w:pPr>
      <w:r>
        <w:rPr>
          <w:highlight w:val="white"/>
        </w:rPr>
        <w:t>*</w:t>
      </w:r>
      <w:r>
        <w:rPr>
          <w:rFonts w:hint="eastAsia"/>
          <w:highlight w:val="white"/>
        </w:rPr>
        <w:t xml:space="preserve"> </w:t>
      </w:r>
      <w:r>
        <w:rPr>
          <w:highlight w:val="white"/>
        </w:rPr>
        <w:t>SELLER 受注者（適格請求書発行事業者登録番号あり）</w:t>
      </w:r>
    </w:p>
    <w:p w14:paraId="3587B9B3" w14:textId="77777777" w:rsidR="00F44CCF" w:rsidRDefault="00F44CCF" w:rsidP="00F44CCF">
      <w:pPr>
        <w:rPr>
          <w:highlight w:val="white"/>
        </w:rPr>
      </w:pPr>
      <w:r>
        <w:rPr>
          <w:rFonts w:hint="eastAsia"/>
          <w:highlight w:val="white"/>
        </w:rPr>
        <w:t>*</w:t>
      </w:r>
      <w:r>
        <w:rPr>
          <w:highlight w:val="white"/>
        </w:rPr>
        <w:t xml:space="preserve"> BUYER 発注者</w:t>
      </w:r>
    </w:p>
    <w:p w14:paraId="32EBCA7D" w14:textId="77777777" w:rsidR="00F44CCF" w:rsidRDefault="00F44CCF" w:rsidP="00F44CCF">
      <w:pPr>
        <w:rPr>
          <w:highlight w:val="white"/>
        </w:rPr>
      </w:pPr>
      <w:r>
        <w:rPr>
          <w:rFonts w:hint="eastAsia"/>
          <w:highlight w:val="white"/>
        </w:rPr>
        <w:t>*</w:t>
      </w:r>
      <w:r>
        <w:rPr>
          <w:highlight w:val="white"/>
        </w:rPr>
        <w:t xml:space="preserve"> PAYEE 支払先</w:t>
      </w:r>
    </w:p>
    <w:p w14:paraId="1AC3FBAC" w14:textId="77777777" w:rsidR="00F44CCF" w:rsidRDefault="00F44CCF" w:rsidP="00F44CCF">
      <w:pPr>
        <w:rPr>
          <w:highlight w:val="white"/>
        </w:rPr>
      </w:pPr>
      <w:r>
        <w:rPr>
          <w:rFonts w:hint="eastAsia"/>
          <w:highlight w:val="white"/>
        </w:rPr>
        <w:t>*</w:t>
      </w:r>
      <w:r>
        <w:rPr>
          <w:highlight w:val="white"/>
        </w:rPr>
        <w:t xml:space="preserve"> SELLER TAX REPRESENTATIVE PARTY 請求者(適格請求書発行事業者登録番号あり)</w:t>
      </w:r>
    </w:p>
    <w:p w14:paraId="6B9ABC4A" w14:textId="77777777" w:rsidR="00F44CCF" w:rsidRDefault="00F44CCF" w:rsidP="00F44CCF">
      <w:pPr>
        <w:rPr>
          <w:highlight w:val="white"/>
        </w:rPr>
      </w:pPr>
      <w:r>
        <w:rPr>
          <w:rFonts w:hint="eastAsia"/>
          <w:highlight w:val="white"/>
        </w:rPr>
        <w:t>*</w:t>
      </w:r>
      <w:r>
        <w:rPr>
          <w:highlight w:val="white"/>
        </w:rPr>
        <w:t xml:space="preserve"> DELIVERY INFORMATION　納入先</w:t>
      </w:r>
    </w:p>
    <w:p w14:paraId="2A3655AD" w14:textId="77777777" w:rsidR="00F44CCF" w:rsidRDefault="00F44CCF" w:rsidP="00F44CCF">
      <w:pPr>
        <w:rPr>
          <w:highlight w:val="white"/>
        </w:rPr>
      </w:pPr>
      <w:r>
        <w:rPr>
          <w:highlight w:val="white"/>
        </w:rPr>
        <w:t>と対応させたが、これで良いか。請求先は、対応する項目がないようだが、この概念は、売り手（請求する）側なのか買い手（請求される）側なのか。</w:t>
      </w:r>
    </w:p>
    <w:p w14:paraId="0B6C46BD" w14:textId="6330CDD3" w:rsidR="00F44CCF" w:rsidRDefault="00F44CCF" w:rsidP="00F44CCF">
      <w:pPr>
        <w:rPr>
          <w:highlight w:val="white"/>
        </w:rPr>
      </w:pPr>
      <w:r w:rsidRPr="00B77129">
        <w:rPr>
          <w:rFonts w:hint="eastAsia"/>
          <w:color w:val="500050"/>
          <w:sz w:val="36"/>
          <w:szCs w:val="36"/>
          <w:highlight w:val="white"/>
        </w:rPr>
        <w:t>A</w:t>
      </w:r>
      <w:r>
        <w:rPr>
          <w:rFonts w:hint="eastAsia"/>
          <w:color w:val="500050"/>
          <w:highlight w:val="white"/>
        </w:rPr>
        <w:t xml:space="preserve"> </w:t>
      </w:r>
      <w:r w:rsidR="00914C55" w:rsidRPr="00914C55">
        <w:rPr>
          <w:rFonts w:asciiTheme="majorHAnsi" w:eastAsiaTheme="majorHAnsi" w:hAnsiTheme="majorHAnsi"/>
          <w:color w:val="500050"/>
          <w:highlight w:val="white"/>
        </w:rPr>
        <w:t xml:space="preserve">(K) </w:t>
      </w:r>
      <w:r>
        <w:rPr>
          <w:highlight w:val="white"/>
        </w:rPr>
        <w:t>国連CEFACTではinvoicee（請求先）とinvoicer（請求者）がBIEとして定義されています。商流取引では発注者と受注者の組合せと、請求者と請求先との組合せが異なるケースがあるので分離して定義しました。買い手は現場の組織であり、支払者は現場を管理する組織などのケースを想定しており、請求先は買い手側の支払者です。支払先は金融連携への接続キーとして組み込んでいます。</w:t>
      </w:r>
    </w:p>
    <w:p w14:paraId="53E28212" w14:textId="77777777" w:rsidR="00F44CCF" w:rsidRPr="004A13D5" w:rsidRDefault="00F44CCF" w:rsidP="00F44CCF">
      <w:pPr>
        <w:pStyle w:val="1"/>
        <w:rPr>
          <w:highlight w:val="white"/>
        </w:rPr>
      </w:pPr>
      <w:r w:rsidRPr="004A13D5">
        <w:rPr>
          <w:highlight w:val="white"/>
        </w:rPr>
        <w:t>支払手段の</w:t>
      </w:r>
      <w:r w:rsidRPr="004A13D5">
        <w:rPr>
          <w:rFonts w:hint="eastAsia"/>
          <w:highlight w:val="white"/>
        </w:rPr>
        <w:t>日欧比較</w:t>
      </w:r>
    </w:p>
    <w:p w14:paraId="33A4DC55" w14:textId="77777777" w:rsidR="00F44CCF" w:rsidRDefault="00F44CCF" w:rsidP="00F44CCF">
      <w:pPr>
        <w:rPr>
          <w:highlight w:val="white"/>
        </w:rPr>
      </w:pPr>
      <w:r w:rsidRPr="00B77129">
        <w:rPr>
          <w:rFonts w:hint="eastAsia"/>
          <w:sz w:val="36"/>
          <w:szCs w:val="36"/>
          <w:highlight w:val="white"/>
        </w:rPr>
        <w:t>Q</w:t>
      </w:r>
      <w:r>
        <w:rPr>
          <w:rFonts w:hint="eastAsia"/>
          <w:highlight w:val="white"/>
        </w:rPr>
        <w:t xml:space="preserve"> </w:t>
      </w:r>
      <w:r>
        <w:rPr>
          <w:highlight w:val="white"/>
        </w:rPr>
        <w:t>ENでは、次の３種類が規定されているが、日本版では、銀行口座への振り込みのみ、適格簡易請求書も含めるとこの３種類が必要と思える。</w:t>
      </w:r>
    </w:p>
    <w:p w14:paraId="56A58304" w14:textId="77777777" w:rsidR="00F44CCF" w:rsidRPr="00EF3346" w:rsidRDefault="00F44CCF" w:rsidP="00F44CCF">
      <w:pPr>
        <w:rPr>
          <w:rFonts w:hint="eastAsia"/>
          <w:highlight w:val="white"/>
        </w:rPr>
      </w:pPr>
      <w:r>
        <w:rPr>
          <w:rFonts w:hint="eastAsia"/>
          <w:highlight w:val="white"/>
        </w:rPr>
        <w:t>また、</w:t>
      </w:r>
      <w:r>
        <w:rPr>
          <w:highlight w:val="white"/>
        </w:rPr>
        <w:t>O</w:t>
      </w:r>
      <w:r>
        <w:rPr>
          <w:rFonts w:hint="eastAsia"/>
          <w:highlight w:val="white"/>
        </w:rPr>
        <w:t>pen PEPPOLでは、銀行口座への振り込みは、</w:t>
      </w:r>
      <w:r>
        <w:rPr>
          <w:highlight w:val="white"/>
        </w:rPr>
        <w:t>I</w:t>
      </w:r>
      <w:r>
        <w:rPr>
          <w:rFonts w:hint="eastAsia"/>
          <w:highlight w:val="white"/>
        </w:rPr>
        <w:t>BANのみの指定であり日本のように詳細な指定は行なっていない。</w:t>
      </w:r>
    </w:p>
    <w:p w14:paraId="26A01E00" w14:textId="77777777" w:rsidR="00F44CCF" w:rsidRPr="002820E6" w:rsidRDefault="00F44CCF" w:rsidP="00F44CCF">
      <w:pPr>
        <w:rPr>
          <w:highlight w:val="white"/>
        </w:rPr>
      </w:pPr>
      <w:r>
        <w:rPr>
          <w:rFonts w:hint="eastAsia"/>
          <w:highlight w:val="white"/>
        </w:rPr>
        <w:t>*</w:t>
      </w:r>
      <w:r w:rsidRPr="002820E6">
        <w:rPr>
          <w:highlight w:val="white"/>
        </w:rPr>
        <w:t xml:space="preserve"> BG-17</w:t>
      </w:r>
      <w:r>
        <w:rPr>
          <w:highlight w:val="white"/>
        </w:rPr>
        <w:t xml:space="preserve">　</w:t>
      </w:r>
      <w:r w:rsidRPr="002820E6">
        <w:rPr>
          <w:highlight w:val="white"/>
        </w:rPr>
        <w:t>CREDIT TRANSFER</w:t>
      </w:r>
    </w:p>
    <w:p w14:paraId="67ABAEE7" w14:textId="77777777" w:rsidR="00F44CCF" w:rsidRPr="002820E6" w:rsidRDefault="00F44CCF" w:rsidP="00F44CCF">
      <w:pPr>
        <w:rPr>
          <w:highlight w:val="white"/>
        </w:rPr>
      </w:pPr>
      <w:r>
        <w:rPr>
          <w:rFonts w:hint="eastAsia"/>
          <w:highlight w:val="white"/>
        </w:rPr>
        <w:t>*</w:t>
      </w:r>
      <w:r w:rsidRPr="002820E6">
        <w:rPr>
          <w:highlight w:val="white"/>
        </w:rPr>
        <w:t xml:space="preserve"> BG-18</w:t>
      </w:r>
      <w:r>
        <w:rPr>
          <w:highlight w:val="white"/>
        </w:rPr>
        <w:t xml:space="preserve">　</w:t>
      </w:r>
      <w:r w:rsidRPr="002820E6">
        <w:rPr>
          <w:highlight w:val="white"/>
        </w:rPr>
        <w:t>PAYMENT CARD INFORMATION</w:t>
      </w:r>
    </w:p>
    <w:p w14:paraId="4061CA01" w14:textId="77777777" w:rsidR="00F44CCF" w:rsidRPr="00B77129" w:rsidRDefault="00F44CCF" w:rsidP="00F44CCF">
      <w:pPr>
        <w:rPr>
          <w:highlight w:val="white"/>
        </w:rPr>
      </w:pPr>
      <w:r w:rsidRPr="00B77129">
        <w:rPr>
          <w:rFonts w:hint="eastAsia"/>
          <w:highlight w:val="white"/>
        </w:rPr>
        <w:t>*</w:t>
      </w:r>
      <w:r w:rsidRPr="00B77129">
        <w:rPr>
          <w:highlight w:val="white"/>
        </w:rPr>
        <w:t xml:space="preserve"> BG-19</w:t>
      </w:r>
      <w:r>
        <w:rPr>
          <w:highlight w:val="white"/>
        </w:rPr>
        <w:t xml:space="preserve">　</w:t>
      </w:r>
      <w:r w:rsidRPr="00B77129">
        <w:rPr>
          <w:highlight w:val="white"/>
        </w:rPr>
        <w:t>DIRECT DEBIT</w:t>
      </w:r>
    </w:p>
    <w:p w14:paraId="028F6C66" w14:textId="7D654941" w:rsidR="00F44CCF" w:rsidRDefault="00F44CCF" w:rsidP="00F44CCF">
      <w:pPr>
        <w:rPr>
          <w:highlight w:val="white"/>
        </w:rPr>
      </w:pPr>
      <w:r w:rsidRPr="00B77129">
        <w:rPr>
          <w:rFonts w:hint="eastAsia"/>
          <w:color w:val="500050"/>
          <w:sz w:val="36"/>
          <w:szCs w:val="36"/>
          <w:highlight w:val="white"/>
        </w:rPr>
        <w:t>A</w:t>
      </w:r>
      <w:r>
        <w:rPr>
          <w:rFonts w:hint="eastAsia"/>
          <w:color w:val="500050"/>
          <w:highlight w:val="white"/>
        </w:rPr>
        <w:t xml:space="preserve"> </w:t>
      </w:r>
      <w:r w:rsidR="00914C55" w:rsidRPr="00914C55">
        <w:rPr>
          <w:rFonts w:asciiTheme="majorHAnsi" w:eastAsiaTheme="majorHAnsi" w:hAnsiTheme="majorHAnsi"/>
          <w:color w:val="500050"/>
          <w:highlight w:val="white"/>
        </w:rPr>
        <w:t xml:space="preserve">(K) </w:t>
      </w:r>
      <w:r>
        <w:rPr>
          <w:highlight w:val="white"/>
        </w:rPr>
        <w:t>中小企業取引でも追加の必要性を検討します。各業界からの追加要望についても調査したいと思います。</w:t>
      </w:r>
    </w:p>
    <w:p w14:paraId="533E24F9" w14:textId="77777777" w:rsidR="00F44CCF" w:rsidRPr="004A13D5" w:rsidRDefault="00F44CCF" w:rsidP="00F44CCF">
      <w:pPr>
        <w:pStyle w:val="1"/>
        <w:rPr>
          <w:highlight w:val="white"/>
        </w:rPr>
      </w:pPr>
      <w:r w:rsidRPr="004A13D5">
        <w:rPr>
          <w:highlight w:val="white"/>
        </w:rPr>
        <w:lastRenderedPageBreak/>
        <w:t>請求書明細注記</w:t>
      </w:r>
    </w:p>
    <w:p w14:paraId="121D4CD6" w14:textId="3491B3A8" w:rsidR="00F44CCF" w:rsidRDefault="00F44CCF" w:rsidP="00F44CCF">
      <w:pPr>
        <w:rPr>
          <w:highlight w:val="white"/>
        </w:rPr>
      </w:pPr>
      <w:r w:rsidRPr="00B77129">
        <w:rPr>
          <w:rFonts w:hint="eastAsia"/>
          <w:sz w:val="36"/>
          <w:szCs w:val="36"/>
          <w:highlight w:val="white"/>
        </w:rPr>
        <w:t>Q</w:t>
      </w:r>
      <w:r>
        <w:rPr>
          <w:rFonts w:hint="eastAsia"/>
          <w:highlight w:val="white"/>
        </w:rPr>
        <w:t xml:space="preserve"> </w:t>
      </w:r>
      <w:r w:rsidR="00914C55" w:rsidRPr="00914C55">
        <w:rPr>
          <w:rFonts w:asciiTheme="majorHAnsi" w:eastAsiaTheme="majorHAnsi" w:hAnsiTheme="majorHAnsi"/>
          <w:highlight w:val="white"/>
        </w:rPr>
        <w:t xml:space="preserve">(S) </w:t>
      </w:r>
      <w:r>
        <w:rPr>
          <w:highlight w:val="white"/>
        </w:rPr>
        <w:t>請求書明細注記を応用することで表現可能な取引の幅が広がりそうに思うのですが</w:t>
      </w:r>
      <w:r>
        <w:rPr>
          <w:rFonts w:hint="eastAsia"/>
          <w:highlight w:val="white"/>
        </w:rPr>
        <w:t>。</w:t>
      </w:r>
    </w:p>
    <w:p w14:paraId="09197933" w14:textId="77777777" w:rsidR="00F44CCF" w:rsidRDefault="00F44CCF" w:rsidP="00F44CCF">
      <w:pPr>
        <w:rPr>
          <w:highlight w:val="white"/>
        </w:rPr>
      </w:pPr>
      <w:r>
        <w:rPr>
          <w:rFonts w:hint="eastAsia"/>
          <w:highlight w:val="white"/>
        </w:rPr>
        <w:t xml:space="preserve">* </w:t>
      </w:r>
      <w:r>
        <w:rPr>
          <w:highlight w:val="white"/>
        </w:rPr>
        <w:t>BT-127 Invoice line note 請求書明細ノート</w:t>
      </w:r>
      <w:r>
        <w:rPr>
          <w:rFonts w:hint="eastAsia"/>
          <w:highlight w:val="white"/>
        </w:rPr>
        <w:t xml:space="preserve"> </w:t>
      </w:r>
      <w:r>
        <w:rPr>
          <w:highlight w:val="white"/>
        </w:rPr>
        <w:t xml:space="preserve">請求書の行に関連する非構造化情報を提供するテキストメモ。   </w:t>
      </w:r>
    </w:p>
    <w:p w14:paraId="314B49A2" w14:textId="77777777" w:rsidR="00F44CCF" w:rsidRDefault="00F44CCF" w:rsidP="00F44CCF">
      <w:pPr>
        <w:rPr>
          <w:highlight w:val="white"/>
        </w:rPr>
      </w:pPr>
      <w:r>
        <w:rPr>
          <w:rFonts w:hint="eastAsia"/>
          <w:highlight w:val="white"/>
        </w:rPr>
        <w:t xml:space="preserve">* </w:t>
      </w:r>
      <w:r>
        <w:rPr>
          <w:highlight w:val="white"/>
        </w:rPr>
        <w:t>BT-128A Invoice line object identifier 請求書明細オブジェクト識別子 請求書明細の基準となるオブジェクトの識別子で、売り手が指定します。必要に応じて、予約番号、電話番号、メーターポイントなどを指定できます。</w:t>
      </w:r>
    </w:p>
    <w:p w14:paraId="305496DB" w14:textId="77777777" w:rsidR="00F44CCF" w:rsidRDefault="00F44CCF" w:rsidP="00F44CCF">
      <w:pPr>
        <w:rPr>
          <w:highlight w:val="white"/>
        </w:rPr>
      </w:pPr>
      <w:r>
        <w:rPr>
          <w:rFonts w:hint="eastAsia"/>
          <w:highlight w:val="white"/>
        </w:rPr>
        <w:t xml:space="preserve">* </w:t>
      </w:r>
      <w:r>
        <w:rPr>
          <w:highlight w:val="white"/>
        </w:rPr>
        <w:t>BT-128B Scheme identifier スキーム識別子　請求書明細オブジェクト識別子の識別スキーム識別子。 識別子にどのスキームが使用されるかが受信者にとって明らかでない場合、条件付きスキーム識別子が使用されるべきであり、それはUNTDID 1153コードリスト [6] 項目から選択される。</w:t>
      </w:r>
    </w:p>
    <w:p w14:paraId="382C2294" w14:textId="11CA0043" w:rsidR="00F44CCF" w:rsidRDefault="00F44CCF" w:rsidP="00F44CCF">
      <w:pPr>
        <w:rPr>
          <w:highlight w:val="white"/>
        </w:rPr>
      </w:pPr>
      <w:r w:rsidRPr="00D93C8A">
        <w:rPr>
          <w:rFonts w:hint="eastAsia"/>
          <w:color w:val="500050"/>
          <w:sz w:val="36"/>
          <w:szCs w:val="36"/>
          <w:highlight w:val="white"/>
        </w:rPr>
        <w:t>A</w:t>
      </w:r>
      <w:r>
        <w:rPr>
          <w:rFonts w:hint="eastAsia"/>
          <w:color w:val="500050"/>
          <w:highlight w:val="white"/>
        </w:rPr>
        <w:t xml:space="preserve"> </w:t>
      </w:r>
      <w:r w:rsidR="00914C55" w:rsidRPr="00914C55">
        <w:rPr>
          <w:rFonts w:asciiTheme="majorHAnsi" w:eastAsiaTheme="majorHAnsi" w:hAnsiTheme="majorHAnsi"/>
          <w:color w:val="500050"/>
          <w:highlight w:val="white"/>
        </w:rPr>
        <w:t xml:space="preserve">(K) </w:t>
      </w:r>
      <w:r>
        <w:rPr>
          <w:highlight w:val="white"/>
        </w:rPr>
        <w:t>注記を利用すると標準化されたデータ定義ではなくなるため、人間系の判断が必要に</w:t>
      </w:r>
    </w:p>
    <w:p w14:paraId="10376B80" w14:textId="77777777" w:rsidR="00F44CCF" w:rsidRPr="00D93C8A" w:rsidRDefault="00F44CCF" w:rsidP="00F44CCF">
      <w:pPr>
        <w:rPr>
          <w:rFonts w:hint="eastAsia"/>
          <w:highlight w:val="white"/>
        </w:rPr>
      </w:pPr>
      <w:r>
        <w:rPr>
          <w:highlight w:val="white"/>
        </w:rPr>
        <w:t>なります。生産性向上のための自動突合を目的とする趣旨に反しますので、注記は取引当事者のローカルなデータ交換の利用に留めるべき</w:t>
      </w:r>
      <w:r>
        <w:rPr>
          <w:rFonts w:hint="eastAsia"/>
          <w:highlight w:val="white"/>
        </w:rPr>
        <w:t>である</w:t>
      </w:r>
      <w:r>
        <w:rPr>
          <w:highlight w:val="white"/>
        </w:rPr>
        <w:t>と考えています。</w:t>
      </w:r>
    </w:p>
    <w:p w14:paraId="3923B7E9" w14:textId="77777777" w:rsidR="00F44CCF" w:rsidRDefault="00F44CCF" w:rsidP="00F44CCF">
      <w:pPr>
        <w:rPr>
          <w:highlight w:val="white"/>
        </w:rPr>
      </w:pPr>
      <w:r>
        <w:rPr>
          <w:highlight w:val="white"/>
        </w:rPr>
        <w:t>汎用化できるデータについては極力標準データ項目として新設定義する方針で標準策定</w:t>
      </w:r>
    </w:p>
    <w:p w14:paraId="6140C24E" w14:textId="3F9B027E" w:rsidR="00807B37" w:rsidRDefault="00F44CCF">
      <w:pPr>
        <w:rPr>
          <w:highlight w:val="white"/>
        </w:rPr>
      </w:pPr>
      <w:r>
        <w:rPr>
          <w:highlight w:val="white"/>
        </w:rPr>
        <w:t>を進めてきました。新設が必要な情報項目は国連CEFACTに申請し、共通辞書（CCL）へ反映する手続きを踏んでいます。消費税関係の追加情報項目についてはすでにかなりのアイテムがCCLへ追加されました。更にCCL2021年バージョンへの追加申請の準備を進めています。</w:t>
      </w:r>
    </w:p>
    <w:p w14:paraId="38BB8340" w14:textId="77777777" w:rsidR="00F44CCF" w:rsidRDefault="00F44CCF">
      <w:pPr>
        <w:rPr>
          <w:rFonts w:hint="eastAsia"/>
          <w:highlight w:val="white"/>
        </w:rPr>
      </w:pPr>
    </w:p>
    <w:p w14:paraId="1D4A25C7" w14:textId="7E0B163E" w:rsidR="00F44CCF" w:rsidRDefault="00F44CCF" w:rsidP="00F44CCF">
      <w:pPr>
        <w:rPr>
          <w:highlight w:val="white"/>
          <w:lang w:eastAsia="zh-CN"/>
        </w:rPr>
      </w:pPr>
      <w:r>
        <w:rPr>
          <w:rFonts w:hint="eastAsia"/>
          <w:highlight w:val="white"/>
          <w:lang w:eastAsia="zh-CN"/>
        </w:rPr>
        <w:t>（</w:t>
      </w:r>
      <w:r>
        <w:rPr>
          <w:highlight w:val="white"/>
          <w:lang w:eastAsia="zh-CN"/>
        </w:rPr>
        <w:t>S</w:t>
      </w:r>
      <w:r>
        <w:rPr>
          <w:rFonts w:hint="eastAsia"/>
          <w:highlight w:val="white"/>
          <w:lang w:eastAsia="zh-CN"/>
        </w:rPr>
        <w:t>）三分一　信之</w:t>
      </w:r>
    </w:p>
    <w:p w14:paraId="6D124B74" w14:textId="4F1755D4" w:rsidR="000E6D43" w:rsidRPr="000E6D43" w:rsidRDefault="00F44CCF" w:rsidP="000E6D43">
      <w:r w:rsidRPr="00F44CCF">
        <w:rPr>
          <w:rFonts w:hint="eastAsia"/>
          <w:highlight w:val="white"/>
        </w:rPr>
        <w:t>（</w:t>
      </w:r>
      <w:r>
        <w:rPr>
          <w:highlight w:val="white"/>
        </w:rPr>
        <w:t>K</w:t>
      </w:r>
      <w:r w:rsidRPr="00F44CCF">
        <w:rPr>
          <w:rFonts w:hint="eastAsia"/>
          <w:highlight w:val="white"/>
        </w:rPr>
        <w:t>）</w:t>
      </w:r>
      <w:r w:rsidRPr="00F44CCF">
        <w:rPr>
          <w:color w:val="000000"/>
        </w:rPr>
        <w:t>川内　晟宏</w:t>
      </w:r>
      <w:r w:rsidR="000E6D43">
        <w:rPr>
          <w:rFonts w:hint="eastAsia"/>
          <w:color w:val="000000"/>
        </w:rPr>
        <w:t>氏 この資料についてのコメント</w:t>
      </w:r>
      <w:r w:rsidR="000E6D43">
        <w:rPr>
          <w:rFonts w:ascii="Helvetica" w:eastAsia="ＭＳ Ｐゴシック" w:hAnsi="Helvetica" w:hint="eastAsia"/>
          <w:color w:val="000000"/>
          <w:sz w:val="18"/>
          <w:szCs w:val="18"/>
        </w:rPr>
        <w:t>「</w:t>
      </w:r>
      <w:r w:rsidR="000E6D43" w:rsidRPr="000E6D43">
        <w:t>私からご回答した内容が記載されていますが、業界EDIについては私の個人見解です。今後、各業界との意見交換が必要です。</w:t>
      </w:r>
      <w:r w:rsidR="000E6D43">
        <w:rPr>
          <w:rFonts w:hint="eastAsia"/>
        </w:rPr>
        <w:t>」</w:t>
      </w:r>
    </w:p>
    <w:p w14:paraId="6B3E5BCB" w14:textId="71E58B50" w:rsidR="00F44CCF" w:rsidRPr="000E6D43" w:rsidRDefault="00F44CCF" w:rsidP="00F44CCF">
      <w:pPr>
        <w:rPr>
          <w:rFonts w:hint="eastAsia"/>
        </w:rPr>
      </w:pPr>
    </w:p>
    <w:p w14:paraId="330F4DD9" w14:textId="52547853" w:rsidR="00F44CCF" w:rsidRPr="00F44CCF" w:rsidRDefault="00F44CCF">
      <w:pPr>
        <w:rPr>
          <w:rFonts w:hint="eastAsia"/>
          <w:highlight w:val="white"/>
        </w:rPr>
      </w:pPr>
    </w:p>
    <w:sectPr w:rsidR="00F44CCF" w:rsidRPr="00F44CCF" w:rsidSect="00F44CCF">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ヒラギノ明朝 ProN W3">
    <w:panose1 w:val="02020300000000000000"/>
    <w:charset w:val="80"/>
    <w:family w:val="roman"/>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00C5B"/>
    <w:multiLevelType w:val="multilevel"/>
    <w:tmpl w:val="530697E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CF"/>
    <w:rsid w:val="000E6D43"/>
    <w:rsid w:val="001111F0"/>
    <w:rsid w:val="00267B89"/>
    <w:rsid w:val="003F25CF"/>
    <w:rsid w:val="00653B17"/>
    <w:rsid w:val="0085330F"/>
    <w:rsid w:val="00914C55"/>
    <w:rsid w:val="00D8391F"/>
    <w:rsid w:val="00E93BC9"/>
    <w:rsid w:val="00F4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D97506"/>
  <w15:chartTrackingRefBased/>
  <w15:docId w15:val="{26249EDF-3F9C-B345-AB66-6EBFB0EF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CCF"/>
    <w:rPr>
      <w:rFonts w:ascii="ヒラギノ明朝 ProN W3" w:eastAsia="ヒラギノ明朝 ProN W3" w:hAnsi="ヒラギノ明朝 ProN W3" w:cs="ＭＳ Ｐゴシック"/>
      <w:kern w:val="0"/>
      <w:szCs w:val="21"/>
    </w:rPr>
  </w:style>
  <w:style w:type="paragraph" w:styleId="1">
    <w:name w:val="heading 1"/>
    <w:basedOn w:val="a"/>
    <w:next w:val="a"/>
    <w:link w:val="10"/>
    <w:uiPriority w:val="9"/>
    <w:qFormat/>
    <w:rsid w:val="00F44CCF"/>
    <w:pPr>
      <w:keepNext/>
      <w:keepLines/>
      <w:numPr>
        <w:numId w:val="1"/>
      </w:numPr>
      <w:spacing w:before="240"/>
      <w:outlineLvl w:val="0"/>
    </w:pPr>
    <w:rPr>
      <w:rFonts w:asciiTheme="majorEastAsia" w:eastAsiaTheme="majorEastAsia" w:hAnsiTheme="majorEastAsia"/>
      <w:sz w:val="36"/>
      <w:szCs w:val="36"/>
    </w:rPr>
  </w:style>
  <w:style w:type="paragraph" w:styleId="2">
    <w:name w:val="heading 2"/>
    <w:basedOn w:val="a"/>
    <w:next w:val="a"/>
    <w:link w:val="20"/>
    <w:uiPriority w:val="9"/>
    <w:unhideWhenUsed/>
    <w:qFormat/>
    <w:rsid w:val="00F44CCF"/>
    <w:pPr>
      <w:keepNext/>
      <w:keepLines/>
      <w:numPr>
        <w:ilvl w:val="1"/>
        <w:numId w:val="1"/>
      </w:numPr>
      <w:spacing w:before="120"/>
      <w:outlineLvl w:val="1"/>
    </w:pPr>
    <w:rPr>
      <w:rFonts w:asciiTheme="majorEastAsia" w:eastAsiaTheme="majorEastAsia" w:hAnsiTheme="majorEastAsia"/>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4CCF"/>
    <w:rPr>
      <w:rFonts w:asciiTheme="majorEastAsia" w:eastAsiaTheme="majorEastAsia" w:hAnsiTheme="majorEastAsia" w:cs="ＭＳ Ｐゴシック"/>
      <w:kern w:val="0"/>
      <w:sz w:val="36"/>
      <w:szCs w:val="36"/>
    </w:rPr>
  </w:style>
  <w:style w:type="character" w:customStyle="1" w:styleId="20">
    <w:name w:val="見出し 2 (文字)"/>
    <w:basedOn w:val="a0"/>
    <w:link w:val="2"/>
    <w:uiPriority w:val="9"/>
    <w:rsid w:val="00F44CCF"/>
    <w:rPr>
      <w:rFonts w:asciiTheme="majorEastAsia" w:eastAsiaTheme="majorEastAsia" w:hAnsiTheme="majorEastAsia" w:cs="ＭＳ Ｐゴシック"/>
      <w:kern w:val="0"/>
      <w:sz w:val="32"/>
      <w:szCs w:val="32"/>
    </w:rPr>
  </w:style>
  <w:style w:type="paragraph" w:styleId="a3">
    <w:name w:val="Title"/>
    <w:basedOn w:val="a"/>
    <w:next w:val="a"/>
    <w:link w:val="a4"/>
    <w:uiPriority w:val="10"/>
    <w:qFormat/>
    <w:rsid w:val="00F44CC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44CCF"/>
    <w:rPr>
      <w:rFonts w:asciiTheme="majorHAnsi" w:eastAsiaTheme="majorEastAsia" w:hAnsiTheme="majorHAnsi" w:cstheme="majorBidi"/>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057020">
      <w:bodyDiv w:val="1"/>
      <w:marLeft w:val="0"/>
      <w:marRight w:val="0"/>
      <w:marTop w:val="0"/>
      <w:marBottom w:val="0"/>
      <w:divBdr>
        <w:top w:val="none" w:sz="0" w:space="0" w:color="auto"/>
        <w:left w:val="none" w:sz="0" w:space="0" w:color="auto"/>
        <w:bottom w:val="none" w:sz="0" w:space="0" w:color="auto"/>
        <w:right w:val="none" w:sz="0" w:space="0" w:color="auto"/>
      </w:divBdr>
    </w:div>
    <w:div w:id="13906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tpro.org/un/pdf/2014_united_nations_ad_21.pdf" TargetMode="External"/><Relationship Id="rId13" Type="http://schemas.openxmlformats.org/officeDocument/2006/relationships/hyperlink" Target="https://unece.org/fileadmin/DAM/trade/untdid/d16b/tred/tred5189.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eppol.eu/poacc/billing/3.0/codelist/UNECERec20/" TargetMode="External"/><Relationship Id="rId12" Type="http://schemas.openxmlformats.org/officeDocument/2006/relationships/image" Target="media/image3.gif"/><Relationship Id="rId17" Type="http://schemas.openxmlformats.org/officeDocument/2006/relationships/hyperlink" Target="https://docs.peppol.eu/poacc/billing/3.0/codelist/UNCL7143/" TargetMode="External"/><Relationship Id="rId2" Type="http://schemas.openxmlformats.org/officeDocument/2006/relationships/styles" Target="styles.xml"/><Relationship Id="rId16" Type="http://schemas.openxmlformats.org/officeDocument/2006/relationships/hyperlink" Target="https://service.unece.org/trade/untdid/d97a/uncl/uncl5305.htm" TargetMode="External"/><Relationship Id="rId1" Type="http://schemas.openxmlformats.org/officeDocument/2006/relationships/numbering" Target="numbering.xml"/><Relationship Id="rId6" Type="http://schemas.openxmlformats.org/officeDocument/2006/relationships/hyperlink" Target="https://www.jastpro.org/un/pdf/2014_united_nations_ad_20.pdf" TargetMode="External"/><Relationship Id="rId11" Type="http://schemas.openxmlformats.org/officeDocument/2006/relationships/image" Target="media/image2.gif"/><Relationship Id="rId5" Type="http://schemas.openxmlformats.org/officeDocument/2006/relationships/hyperlink" Target="http://www.unece.org/uncefact/codelistrecs.html" TargetMode="External"/><Relationship Id="rId15" Type="http://schemas.openxmlformats.org/officeDocument/2006/relationships/hyperlink" Target="https://service.unece.org/trade/untdid/d97a/uncl/uncl5283.htm"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eppol.eu/poacc/billing/3.0/codelist/UNECERec21/" TargetMode="External"/><Relationship Id="rId14" Type="http://schemas.openxmlformats.org/officeDocument/2006/relationships/hyperlink" Target="https://service.unece.org/trade/untdid/d97a/trsd/trsdtax.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1769</Words>
  <Characters>10089</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三分一 信之</dc:creator>
  <cp:keywords/>
  <dc:description/>
  <cp:lastModifiedBy>三分一 信之</cp:lastModifiedBy>
  <cp:revision>3</cp:revision>
  <dcterms:created xsi:type="dcterms:W3CDTF">2020-12-20T00:43:00Z</dcterms:created>
  <dcterms:modified xsi:type="dcterms:W3CDTF">2020-12-20T23:38:00Z</dcterms:modified>
</cp:coreProperties>
</file>