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5282" w14:textId="4A389EA0" w:rsidR="00375D46" w:rsidRPr="00A40C5B" w:rsidRDefault="00187665" w:rsidP="00A40C5B">
      <w:pPr>
        <w:pStyle w:val="Title"/>
        <w:rPr>
          <w:sz w:val="36"/>
          <w:szCs w:val="36"/>
        </w:rPr>
      </w:pPr>
      <w:r w:rsidRPr="00A40C5B">
        <w:rPr>
          <w:rFonts w:hint="eastAsia"/>
          <w:sz w:val="36"/>
          <w:szCs w:val="36"/>
        </w:rPr>
        <w:t>Open Peppol「区分記載請求書」の文書仕様</w:t>
      </w:r>
      <w:r w:rsidR="00A40C5B" w:rsidRPr="00A40C5B">
        <w:rPr>
          <w:rFonts w:hint="eastAsia"/>
          <w:sz w:val="36"/>
          <w:szCs w:val="36"/>
        </w:rPr>
        <w:t>について</w:t>
      </w:r>
    </w:p>
    <w:p w14:paraId="010B1404" w14:textId="292F2E77" w:rsidR="005515E3" w:rsidRDefault="005515E3" w:rsidP="005515E3">
      <w:pPr>
        <w:jc w:val="right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を変更 令和4年9月9日</w:t>
      </w:r>
    </w:p>
    <w:p w14:paraId="792A49B2" w14:textId="5FCAC597" w:rsidR="00A40C5B" w:rsidRDefault="00A40C5B" w:rsidP="00A40C5B">
      <w:pPr>
        <w:jc w:val="right"/>
      </w:pPr>
      <w:r>
        <w:rPr>
          <w:rFonts w:hint="eastAsia"/>
        </w:rPr>
        <w:t>令和4年9月8日</w:t>
      </w:r>
    </w:p>
    <w:p w14:paraId="73AD5F6D" w14:textId="3A1D3A7F" w:rsidR="00A40C5B" w:rsidRDefault="00A40C5B" w:rsidP="00A40C5B">
      <w:pPr>
        <w:jc w:val="right"/>
      </w:pPr>
      <w:r>
        <w:rPr>
          <w:rFonts w:hint="eastAsia"/>
        </w:rPr>
        <w:t>三分一信之</w:t>
      </w:r>
    </w:p>
    <w:p w14:paraId="65F9B03E" w14:textId="67281A5B" w:rsidR="00A40C5B" w:rsidRDefault="00A40C5B" w:rsidP="00A40C5B">
      <w:pPr>
        <w:jc w:val="right"/>
      </w:pPr>
      <w:r>
        <w:t>EIPA</w:t>
      </w:r>
      <w:r w:rsidR="007F3BB2">
        <w:rPr>
          <w:rFonts w:hint="eastAsia"/>
        </w:rPr>
        <w:t>特別会員 一般社団法人</w:t>
      </w:r>
      <w:r>
        <w:t>XBRL Japan</w:t>
      </w:r>
      <w:r>
        <w:rPr>
          <w:rFonts w:hint="eastAsia"/>
        </w:rPr>
        <w:t>顧問</w:t>
      </w:r>
    </w:p>
    <w:p w14:paraId="02752DA1" w14:textId="4F80BA28" w:rsidR="00A40C5B" w:rsidRDefault="007F3BB2" w:rsidP="007F3BB2">
      <w:pPr>
        <w:jc w:val="right"/>
      </w:pPr>
      <w:r>
        <w:rPr>
          <w:rFonts w:hint="eastAsia"/>
        </w:rPr>
        <w:t>ISO/TC 295/SG 1</w:t>
      </w:r>
      <w:r>
        <w:t xml:space="preserve"> convenor</w:t>
      </w:r>
    </w:p>
    <w:p w14:paraId="3083FA61" w14:textId="2625FA2C" w:rsidR="00187665" w:rsidRPr="00757BE3" w:rsidRDefault="00187665" w:rsidP="00487AE1">
      <w:pPr>
        <w:pStyle w:val="Heading1"/>
      </w:pPr>
      <w:r>
        <w:rPr>
          <w:rFonts w:hint="eastAsia"/>
        </w:rPr>
        <w:t>前提条件</w:t>
      </w:r>
    </w:p>
    <w:p w14:paraId="52293860" w14:textId="5BAE2738" w:rsidR="00187665" w:rsidRDefault="00187665" w:rsidP="00487AE1">
      <w:pPr>
        <w:pStyle w:val="Heading2"/>
      </w:pPr>
      <w:r>
        <w:rPr>
          <w:rFonts w:hint="eastAsia"/>
        </w:rPr>
        <w:t>セマンティックモデル</w:t>
      </w:r>
    </w:p>
    <w:p w14:paraId="76C81654" w14:textId="77777777" w:rsidR="00952488" w:rsidRPr="00487AE1" w:rsidRDefault="00187665" w:rsidP="00487AE1">
      <w:r w:rsidRPr="00487AE1">
        <w:t>JP PINT Invoiceと同じ構成を使用する。</w:t>
      </w:r>
    </w:p>
    <w:p w14:paraId="43237C24" w14:textId="7B701ED2" w:rsidR="00187665" w:rsidRDefault="00187665" w:rsidP="00487AE1">
      <w:r>
        <w:rPr>
          <w:rFonts w:hint="eastAsia"/>
        </w:rPr>
        <w:t>但し、</w:t>
      </w:r>
      <w:r w:rsidR="00540A7C">
        <w:rPr>
          <w:rFonts w:hint="eastAsia"/>
        </w:rPr>
        <w:t>売り手事業者の登録番号および</w:t>
      </w:r>
      <w:r>
        <w:rPr>
          <w:rFonts w:hint="eastAsia"/>
        </w:rPr>
        <w:t>消費税の金額は含めない。</w:t>
      </w:r>
    </w:p>
    <w:p w14:paraId="48DBA81D" w14:textId="3C8D76D8" w:rsidR="00187665" w:rsidRDefault="00187665" w:rsidP="00487AE1">
      <w:pPr>
        <w:pStyle w:val="Heading2"/>
      </w:pPr>
      <w:r w:rsidRPr="00187665">
        <w:t>シンタクスバインディング</w:t>
      </w:r>
    </w:p>
    <w:p w14:paraId="73C2039F" w14:textId="77777777" w:rsidR="00367515" w:rsidRPr="005852E4" w:rsidRDefault="00367515" w:rsidP="00367515">
      <w:pPr>
        <w:pStyle w:val="Heading3"/>
      </w:pPr>
      <w:r>
        <w:rPr>
          <w:rFonts w:hint="eastAsia"/>
        </w:rPr>
        <w:t>売り手の登録事業者番号</w:t>
      </w:r>
    </w:p>
    <w:p w14:paraId="7511ECD6" w14:textId="77777777" w:rsidR="00367515" w:rsidRDefault="00367515" w:rsidP="00367515">
      <w:r>
        <w:rPr>
          <w:rFonts w:hint="eastAsia"/>
        </w:rPr>
        <w:t>当初、売り手の登録事業者番号を記載するX</w:t>
      </w:r>
      <w:r>
        <w:t>ML</w:t>
      </w:r>
      <w:r>
        <w:rPr>
          <w:rFonts w:hint="eastAsia"/>
        </w:rPr>
        <w:t>要素</w:t>
      </w:r>
    </w:p>
    <w:p w14:paraId="4BB7B42B" w14:textId="77777777" w:rsidR="00367515" w:rsidRDefault="00367515" w:rsidP="00367515">
      <w:pPr>
        <w:rPr>
          <w:rFonts w:ascii="Calibri" w:hAnsi="Calibri" w:cs="Calibri"/>
        </w:rPr>
      </w:pPr>
      <w:r w:rsidRPr="00C41456">
        <w:rPr>
          <w:rFonts w:ascii="Calibri" w:hAnsi="Calibri" w:cs="Calibri"/>
        </w:rPr>
        <w:t>cac:AccountingSupplierParty/cac:Party</w:t>
      </w:r>
      <w:r>
        <w:rPr>
          <w:rFonts w:ascii="Calibri" w:hAnsi="Calibri" w:cs="Calibri"/>
        </w:rPr>
        <w:t>/</w:t>
      </w:r>
      <w:r w:rsidRPr="00C41456">
        <w:rPr>
          <w:rFonts w:ascii="Calibri" w:hAnsi="Calibri" w:cs="Calibri"/>
        </w:rPr>
        <w:t>cac:PartyTaxScheme/cbc:CompanyID</w:t>
      </w:r>
    </w:p>
    <w:p w14:paraId="6187BB26" w14:textId="77777777" w:rsidR="00367515" w:rsidRDefault="00367515" w:rsidP="00367515">
      <w:r>
        <w:rPr>
          <w:rFonts w:hint="eastAsia"/>
        </w:rPr>
        <w:t>に固定値</w:t>
      </w:r>
      <w:r>
        <w:t>NA</w:t>
      </w:r>
      <w:r>
        <w:rPr>
          <w:rFonts w:hint="eastAsia"/>
        </w:rPr>
        <w:t>を記載する。</w:t>
      </w:r>
    </w:p>
    <w:p w14:paraId="2F237F5E" w14:textId="77777777" w:rsidR="00367515" w:rsidRPr="005852E4" w:rsidRDefault="00367515" w:rsidP="00367515">
      <w:r w:rsidRPr="005852E4">
        <w:rPr>
          <w:rFonts w:ascii="Calibri" w:hAnsi="Calibri" w:cs="Calibri"/>
        </w:rPr>
        <w:t>/ubl:Invoice/cac:AccountingSupplierParty/cac:Party/cac:PartyTaxScheme</w:t>
      </w:r>
      <w:r>
        <w:rPr>
          <w:rFonts w:ascii="Calibri" w:hAnsi="Calibri" w:cs="Calibri" w:hint="eastAsia"/>
        </w:rPr>
        <w:t>要素を未定義としていたが、つぎの</w:t>
      </w: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hared</w:t>
      </w:r>
      <w:r>
        <w:rPr>
          <w:rFonts w:ascii="Calibri" w:hAnsi="Calibri" w:cs="Calibri" w:hint="eastAsia"/>
        </w:rPr>
        <w:t>ルールがエラーとなった。</w:t>
      </w:r>
    </w:p>
    <w:p w14:paraId="7FD9F576" w14:textId="77777777" w:rsidR="00367515" w:rsidRPr="00C41456" w:rsidRDefault="00367515" w:rsidP="00367515">
      <w:pPr>
        <w:rPr>
          <w:rFonts w:ascii="Calibri" w:hAnsi="Calibri" w:cs="Calibri"/>
        </w:rPr>
      </w:pPr>
      <w:r w:rsidRPr="00C41456">
        <w:rPr>
          <w:rFonts w:ascii="Calibri" w:hAnsi="Calibri" w:cs="Calibri"/>
        </w:rPr>
        <w:t>[ibr-co-26]-In order for the buyer to automatically identify a supplier, the Seller identifier (ibt-029), the Seller legal registration identifier (ibt-030) and/or the Seller Tax identifier (ibt-031) MUST be present.</w:t>
      </w:r>
    </w:p>
    <w:p w14:paraId="67AAB889" w14:textId="77777777" w:rsidR="00367515" w:rsidRDefault="00367515" w:rsidP="00367515">
      <w:r>
        <w:rPr>
          <w:rFonts w:hint="eastAsia"/>
        </w:rPr>
        <w:t>このエラーは、次のt</w:t>
      </w:r>
      <w:r>
        <w:t>est</w:t>
      </w:r>
      <w:r>
        <w:rPr>
          <w:rFonts w:hint="eastAsia"/>
        </w:rPr>
        <w:t>スクリプトが</w:t>
      </w:r>
      <w:r w:rsidRPr="00EC3EA4">
        <w:t xml:space="preserve"> </w:t>
      </w:r>
      <w:r>
        <w:rPr>
          <w:rFonts w:hint="eastAsia"/>
        </w:rPr>
        <w:t>、</w:t>
      </w:r>
    </w:p>
    <w:p w14:paraId="1B76459A" w14:textId="77777777" w:rsidR="00367515" w:rsidRDefault="00367515" w:rsidP="00367515">
      <w:pPr>
        <w:rPr>
          <w:rFonts w:ascii="Calibri" w:hAnsi="Calibri" w:cs="Calibri"/>
        </w:rPr>
      </w:pPr>
      <w:r w:rsidRPr="00C41456">
        <w:rPr>
          <w:rFonts w:ascii="Calibri" w:hAnsi="Calibri" w:cs="Calibri"/>
        </w:rPr>
        <w:t>cac:AccountingSupplierParty/cac:Party</w:t>
      </w:r>
      <w:r>
        <w:rPr>
          <w:rFonts w:ascii="Calibri" w:hAnsi="Calibri" w:cs="Calibri"/>
        </w:rPr>
        <w:t>/</w:t>
      </w:r>
      <w:r w:rsidRPr="00C41456">
        <w:rPr>
          <w:rFonts w:ascii="Calibri" w:hAnsi="Calibri" w:cs="Calibri"/>
        </w:rPr>
        <w:t>cac:PartyTaxScheme/cbc:CompanyID</w:t>
      </w:r>
    </w:p>
    <w:p w14:paraId="2358D2A7" w14:textId="77777777" w:rsidR="00367515" w:rsidRDefault="00367515" w:rsidP="00367515">
      <w:pPr>
        <w:rPr>
          <w:rFonts w:ascii="Calibri" w:hAnsi="Calibri" w:cs="Calibri"/>
        </w:rPr>
      </w:pPr>
      <w:r w:rsidRPr="00C41456">
        <w:rPr>
          <w:rFonts w:ascii="Calibri" w:hAnsi="Calibri" w:cs="Calibri"/>
        </w:rPr>
        <w:t>cac:AccountingSupplierParty/cac:Part</w:t>
      </w:r>
      <w:r>
        <w:rPr>
          <w:rFonts w:ascii="Calibri" w:hAnsi="Calibri" w:cs="Calibri"/>
        </w:rPr>
        <w:t>y/</w:t>
      </w:r>
      <w:r w:rsidRPr="00C41456">
        <w:rPr>
          <w:rFonts w:ascii="Calibri" w:hAnsi="Calibri" w:cs="Calibri"/>
        </w:rPr>
        <w:t>cac:PartyIdentification/cbc:ID</w:t>
      </w:r>
    </w:p>
    <w:p w14:paraId="219622DE" w14:textId="77777777" w:rsidR="00367515" w:rsidRDefault="00367515" w:rsidP="00367515">
      <w:pPr>
        <w:rPr>
          <w:rFonts w:ascii="Calibri" w:hAnsi="Calibri" w:cs="Calibri"/>
        </w:rPr>
      </w:pPr>
      <w:r w:rsidRPr="00C41456">
        <w:rPr>
          <w:rFonts w:ascii="Calibri" w:hAnsi="Calibri" w:cs="Calibri"/>
        </w:rPr>
        <w:t>cac:AccountingSupplierParty/cac:Part</w:t>
      </w:r>
      <w:r>
        <w:rPr>
          <w:rFonts w:ascii="Calibri" w:hAnsi="Calibri" w:cs="Calibri"/>
        </w:rPr>
        <w:t>y/</w:t>
      </w:r>
      <w:r w:rsidRPr="00C41456">
        <w:rPr>
          <w:rFonts w:ascii="Calibri" w:hAnsi="Calibri" w:cs="Calibri"/>
        </w:rPr>
        <w:t>cac:PartyLegalEntity/cbc:CompanyID</w:t>
      </w:r>
    </w:p>
    <w:p w14:paraId="17C45C18" w14:textId="77777777" w:rsidR="00367515" w:rsidRDefault="00367515" w:rsidP="00367515">
      <w:r>
        <w:rPr>
          <w:rFonts w:hint="eastAsia"/>
        </w:rPr>
        <w:t>のいずれかが存在することを前提としていることによる。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4"/>
        <w:gridCol w:w="8766"/>
      </w:tblGrid>
      <w:tr w:rsidR="00367515" w14:paraId="14318132" w14:textId="77777777" w:rsidTr="00367515">
        <w:tc>
          <w:tcPr>
            <w:tcW w:w="500" w:type="pct"/>
            <w:vAlign w:val="center"/>
          </w:tcPr>
          <w:p w14:paraId="630DB618" w14:textId="77777777" w:rsidR="00367515" w:rsidRPr="00B20F0C" w:rsidRDefault="00367515" w:rsidP="00367515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Pr="00C41456">
              <w:rPr>
                <w:rFonts w:ascii="Calibri" w:hAnsi="Calibri" w:cs="Calibri"/>
              </w:rPr>
              <w:t>ontext</w:t>
            </w:r>
          </w:p>
        </w:tc>
        <w:tc>
          <w:tcPr>
            <w:tcW w:w="4500" w:type="pct"/>
            <w:vAlign w:val="center"/>
          </w:tcPr>
          <w:p w14:paraId="200FAB76" w14:textId="77777777" w:rsidR="00367515" w:rsidRPr="00B20F0C" w:rsidRDefault="00367515" w:rsidP="00367515">
            <w:pPr>
              <w:jc w:val="left"/>
              <w:rPr>
                <w:rFonts w:ascii="Calibri" w:hAnsi="Calibri" w:cs="Calibri"/>
              </w:rPr>
            </w:pPr>
            <w:r w:rsidRPr="00C41456">
              <w:rPr>
                <w:rFonts w:ascii="Calibri" w:hAnsi="Calibri" w:cs="Calibri"/>
              </w:rPr>
              <w:t>cac:AccountingSupplierParty/cac:Party</w:t>
            </w:r>
          </w:p>
        </w:tc>
      </w:tr>
      <w:tr w:rsidR="00367515" w14:paraId="1D20E1EA" w14:textId="77777777" w:rsidTr="00367515">
        <w:tc>
          <w:tcPr>
            <w:tcW w:w="500" w:type="pct"/>
            <w:vAlign w:val="center"/>
          </w:tcPr>
          <w:p w14:paraId="4A361EE6" w14:textId="77777777" w:rsidR="00367515" w:rsidRDefault="00367515" w:rsidP="00367515">
            <w:pPr>
              <w:jc w:val="left"/>
              <w:rPr>
                <w:rFonts w:ascii="Calibri" w:hAnsi="Calibri" w:cs="Calibri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4500" w:type="pct"/>
            <w:vAlign w:val="center"/>
          </w:tcPr>
          <w:p w14:paraId="194C3F30" w14:textId="77777777" w:rsidR="00367515" w:rsidRPr="00C41456" w:rsidRDefault="00367515" w:rsidP="00367515">
            <w:pPr>
              <w:jc w:val="left"/>
              <w:rPr>
                <w:rFonts w:ascii="Calibri" w:hAnsi="Calibri" w:cs="Calibri"/>
              </w:rPr>
            </w:pPr>
            <w:r w:rsidRPr="00C41456">
              <w:rPr>
                <w:rFonts w:ascii="Calibri" w:hAnsi="Calibri" w:cs="Calibri"/>
              </w:rPr>
              <w:t>exists(cac:PartyTaxScheme/cbc:CompanyID) or exists(cac:PartyIdentification/cbc:ID) or exists(cac:PartyLegalEntity/cbc:CompanyID)</w:t>
            </w:r>
          </w:p>
        </w:tc>
      </w:tr>
    </w:tbl>
    <w:p w14:paraId="502723C5" w14:textId="77777777" w:rsidR="00367515" w:rsidRDefault="00367515"/>
    <w:p w14:paraId="1A1508D3" w14:textId="03318E32" w:rsidR="00D904CD" w:rsidRPr="00D904CD" w:rsidRDefault="005852E4" w:rsidP="00D904CD">
      <w:pPr>
        <w:pStyle w:val="Heading3"/>
      </w:pPr>
      <w:r>
        <w:rPr>
          <w:rFonts w:hint="eastAsia"/>
        </w:rPr>
        <w:t>消費税額</w:t>
      </w:r>
    </w:p>
    <w:p w14:paraId="4388EF80" w14:textId="7CA0E18D" w:rsidR="00187665" w:rsidRDefault="00187665" w:rsidP="00487AE1">
      <w:r>
        <w:rPr>
          <w:rFonts w:hint="eastAsia"/>
        </w:rPr>
        <w:t>上記の条件により、消費税の金額を記載している</w:t>
      </w:r>
      <w:r w:rsidR="00477184">
        <w:t>&lt;</w:t>
      </w:r>
      <w:r>
        <w:rPr>
          <w:rFonts w:hint="eastAsia"/>
        </w:rPr>
        <w:t>c</w:t>
      </w:r>
      <w:r>
        <w:t>ac:TaxTotal</w:t>
      </w:r>
      <w:r w:rsidR="00477184">
        <w:t>&gt;</w:t>
      </w:r>
      <w:r w:rsidR="00C96241">
        <w:rPr>
          <w:rFonts w:hint="eastAsia"/>
        </w:rPr>
        <w:t>には、固定値</w:t>
      </w:r>
      <w:r w:rsidR="00C96241">
        <w:t>0</w:t>
      </w:r>
      <w:r w:rsidR="00C96241">
        <w:rPr>
          <w:rFonts w:hint="eastAsia"/>
        </w:rPr>
        <w:t>を記載し、&lt;c</w:t>
      </w:r>
      <w:r w:rsidR="00C96241">
        <w:t>ac:TaxSubtotal&gt;</w:t>
      </w:r>
      <w:r w:rsidR="00C96241">
        <w:rPr>
          <w:rFonts w:hint="eastAsia"/>
        </w:rPr>
        <w:t>は、</w:t>
      </w:r>
      <w:r>
        <w:rPr>
          <w:rFonts w:hint="eastAsia"/>
        </w:rPr>
        <w:t>使用しない。</w:t>
      </w:r>
    </w:p>
    <w:p w14:paraId="2F5A4A83" w14:textId="0DB93EF8" w:rsidR="00477184" w:rsidRDefault="00477184" w:rsidP="00487AE1">
      <w:r>
        <w:rPr>
          <w:rFonts w:hint="eastAsia"/>
        </w:rPr>
        <w:t>UBLでは、</w:t>
      </w:r>
      <w:r>
        <w:t>&lt;</w:t>
      </w:r>
      <w:r>
        <w:rPr>
          <w:rFonts w:hint="eastAsia"/>
        </w:rPr>
        <w:t>c</w:t>
      </w:r>
      <w:r>
        <w:t>ac:TaxTotal&gt;</w:t>
      </w:r>
      <w:r w:rsidR="00C96241">
        <w:rPr>
          <w:rFonts w:hint="eastAsia"/>
        </w:rPr>
        <w:t>および</w:t>
      </w:r>
      <w:r w:rsidR="005515E3">
        <w:rPr>
          <w:rFonts w:hint="eastAsia"/>
        </w:rPr>
        <w:t>&lt;c</w:t>
      </w:r>
      <w:r w:rsidR="005515E3">
        <w:t>ac:TaxSubtotal&gt;</w:t>
      </w:r>
      <w:r>
        <w:rPr>
          <w:rFonts w:hint="eastAsia"/>
        </w:rPr>
        <w:t>は</w:t>
      </w:r>
      <w:r w:rsidR="005515E3">
        <w:rPr>
          <w:rFonts w:hint="eastAsia"/>
        </w:rPr>
        <w:t>ともに</w:t>
      </w:r>
      <w:r>
        <w:rPr>
          <w:rFonts w:hint="eastAsia"/>
        </w:rPr>
        <w:t>任意項目（C</w:t>
      </w:r>
      <w:r>
        <w:t>ardinality 0..n</w:t>
      </w:r>
      <w:r>
        <w:rPr>
          <w:rFonts w:hint="eastAsia"/>
        </w:rPr>
        <w:t>）</w:t>
      </w:r>
      <w:r w:rsidR="005515E3">
        <w:rPr>
          <w:rFonts w:hint="eastAsia"/>
        </w:rPr>
        <w:t>。</w:t>
      </w:r>
    </w:p>
    <w:p w14:paraId="16B16239" w14:textId="7DC6A72B" w:rsidR="005515E3" w:rsidRDefault="005515E3" w:rsidP="00487AE1">
      <w:r>
        <w:rPr>
          <w:rFonts w:hint="eastAsia"/>
        </w:rPr>
        <w:t>当初</w:t>
      </w:r>
      <w:r>
        <w:t>&lt;</w:t>
      </w:r>
      <w:r>
        <w:rPr>
          <w:rFonts w:hint="eastAsia"/>
        </w:rPr>
        <w:t>c</w:t>
      </w:r>
      <w:r>
        <w:t>ac:TaxTotal&gt;</w:t>
      </w:r>
      <w:r>
        <w:rPr>
          <w:rFonts w:hint="eastAsia"/>
        </w:rPr>
        <w:t>を使用しないとしていたが、</w:t>
      </w:r>
    </w:p>
    <w:p w14:paraId="7DF00180" w14:textId="77777777" w:rsidR="00C41456" w:rsidRDefault="00D904CD" w:rsidP="00487AE1">
      <w:r w:rsidRPr="00C41456">
        <w:rPr>
          <w:rFonts w:ascii="Calibri" w:hAnsi="Calibri" w:cs="Calibri"/>
        </w:rPr>
        <w:t>[ibr-co-15]-Invoice total amount with Tax (ibt-112) = Invoice total amount without Tax (ibt-109) + Invoice total Tax amount (ibt-110).</w:t>
      </w:r>
      <w:r>
        <w:rPr>
          <w:rFonts w:hint="eastAsia"/>
        </w:rPr>
        <w:t xml:space="preserve">　</w:t>
      </w:r>
    </w:p>
    <w:p w14:paraId="49081D0C" w14:textId="76824077" w:rsidR="00D904CD" w:rsidRDefault="00D904CD" w:rsidP="00487AE1">
      <w:r>
        <w:rPr>
          <w:rFonts w:hint="eastAsia"/>
        </w:rPr>
        <w:t>でエラーとなるため、</w:t>
      </w:r>
      <w:r>
        <w:t>&lt;</w:t>
      </w:r>
      <w:r>
        <w:rPr>
          <w:rFonts w:hint="eastAsia"/>
        </w:rPr>
        <w:t>c</w:t>
      </w:r>
      <w:r>
        <w:t>ac:TaxTotal&gt;</w:t>
      </w:r>
      <w:r>
        <w:rPr>
          <w:rFonts w:hint="eastAsia"/>
        </w:rPr>
        <w:t>には、固定値</w:t>
      </w:r>
      <w:r>
        <w:t>0</w:t>
      </w:r>
      <w:r>
        <w:rPr>
          <w:rFonts w:hint="eastAsia"/>
        </w:rPr>
        <w:t>を記載することとした。</w:t>
      </w:r>
    </w:p>
    <w:p w14:paraId="4FDE7C31" w14:textId="50433C7E" w:rsidR="00EC3EA4" w:rsidRDefault="00EC3EA4" w:rsidP="00EC3EA4">
      <w:r>
        <w:rPr>
          <w:rFonts w:hint="eastAsia"/>
        </w:rPr>
        <w:t>このエラーは、次の</w:t>
      </w:r>
      <w:r w:rsidR="00C41456">
        <w:rPr>
          <w:rFonts w:hint="eastAsia"/>
        </w:rPr>
        <w:t>t</w:t>
      </w:r>
      <w:r>
        <w:t>est</w:t>
      </w:r>
      <w:r>
        <w:rPr>
          <w:rFonts w:hint="eastAsia"/>
        </w:rPr>
        <w:t>スクリプトが</w:t>
      </w:r>
      <w:r w:rsidRPr="00EC3EA4">
        <w:t xml:space="preserve"> cac:TaxTotal/cbc:TaxAmount</w:t>
      </w:r>
      <w:r>
        <w:rPr>
          <w:rFonts w:hint="eastAsia"/>
        </w:rPr>
        <w:t>が存在することを前提としていること</w:t>
      </w:r>
      <w:r w:rsidR="00C41456">
        <w:rPr>
          <w:rFonts w:hint="eastAsia"/>
        </w:rPr>
        <w:t>による。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4"/>
        <w:gridCol w:w="8766"/>
      </w:tblGrid>
      <w:tr w:rsidR="00367515" w14:paraId="099048BB" w14:textId="77777777" w:rsidTr="00367515">
        <w:trPr>
          <w:cantSplit/>
        </w:trPr>
        <w:tc>
          <w:tcPr>
            <w:tcW w:w="500" w:type="pct"/>
          </w:tcPr>
          <w:p w14:paraId="7A53C045" w14:textId="61DB5791" w:rsidR="00367515" w:rsidRDefault="00367515" w:rsidP="00C202F5">
            <w:pPr>
              <w:jc w:val="left"/>
            </w:pPr>
            <w:r>
              <w:t>context</w:t>
            </w:r>
          </w:p>
        </w:tc>
        <w:tc>
          <w:tcPr>
            <w:tcW w:w="4500" w:type="pct"/>
            <w:vAlign w:val="center"/>
          </w:tcPr>
          <w:p w14:paraId="7A04146B" w14:textId="303E9AC7" w:rsidR="00367515" w:rsidRPr="00C41456" w:rsidRDefault="00367515" w:rsidP="00367515">
            <w:pPr>
              <w:jc w:val="left"/>
              <w:rPr>
                <w:rFonts w:ascii="Calibri" w:hAnsi="Calibri" w:cs="Calibri"/>
              </w:rPr>
            </w:pPr>
            <w:r w:rsidRPr="00367515">
              <w:rPr>
                <w:rFonts w:ascii="Calibri" w:hAnsi="Calibri" w:cs="Calibri"/>
              </w:rPr>
              <w:t>/ubl:Invoice | /cn:CreditNote</w:t>
            </w:r>
          </w:p>
        </w:tc>
      </w:tr>
      <w:tr w:rsidR="00367515" w14:paraId="6E1BB91F" w14:textId="77777777" w:rsidTr="00367515">
        <w:trPr>
          <w:cantSplit/>
        </w:trPr>
        <w:tc>
          <w:tcPr>
            <w:tcW w:w="500" w:type="pct"/>
            <w:vAlign w:val="center"/>
          </w:tcPr>
          <w:p w14:paraId="74E16502" w14:textId="79681896" w:rsidR="00367515" w:rsidRDefault="00367515" w:rsidP="00367515">
            <w:pPr>
              <w:jc w:val="left"/>
            </w:pPr>
            <w:r>
              <w:lastRenderedPageBreak/>
              <w:t>test</w:t>
            </w:r>
          </w:p>
        </w:tc>
        <w:tc>
          <w:tcPr>
            <w:tcW w:w="4500" w:type="pct"/>
            <w:vAlign w:val="center"/>
          </w:tcPr>
          <w:p w14:paraId="7444DB71" w14:textId="77777777" w:rsidR="00367515" w:rsidRDefault="00367515" w:rsidP="00367515">
            <w:pPr>
              <w:jc w:val="left"/>
              <w:rPr>
                <w:rFonts w:ascii="Calibri" w:hAnsi="Calibri" w:cs="Calibri"/>
              </w:rPr>
            </w:pPr>
            <w:r w:rsidRPr="00EC3EA4">
              <w:rPr>
                <w:rFonts w:ascii="Calibri" w:hAnsi="Calibri" w:cs="Calibri"/>
              </w:rPr>
              <w:t>(</w:t>
            </w:r>
          </w:p>
          <w:p w14:paraId="10A3659B" w14:textId="77777777" w:rsidR="00367515" w:rsidRDefault="00367515" w:rsidP="00367515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 w:rsidRPr="00EC3EA4">
              <w:rPr>
                <w:rFonts w:ascii="Calibri" w:hAnsi="Calibri" w:cs="Calibri"/>
              </w:rPr>
              <w:t xml:space="preserve">cac:LegalMonetaryTotal/xs:decimal(cbc:TaxInclusiveAmount) = </w:t>
            </w:r>
          </w:p>
          <w:p w14:paraId="677D9FFB" w14:textId="77777777" w:rsidR="00367515" w:rsidRDefault="00367515" w:rsidP="00367515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 w:rsidRPr="00EC3EA4">
              <w:rPr>
                <w:rFonts w:ascii="Calibri" w:hAnsi="Calibri" w:cs="Calibri"/>
              </w:rPr>
              <w:t>round(</w:t>
            </w:r>
          </w:p>
          <w:p w14:paraId="596F549F" w14:textId="77777777" w:rsidR="00367515" w:rsidRDefault="00367515" w:rsidP="00367515">
            <w:pPr>
              <w:jc w:val="left"/>
              <w:rPr>
                <w:rFonts w:ascii="Calibri" w:hAnsi="Calibri" w:cs="Calibri"/>
              </w:rPr>
            </w:pPr>
            <w:r w:rsidRPr="00EC3EA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 xml:space="preserve">  </w:t>
            </w:r>
            <w:r w:rsidRPr="00EC3EA4">
              <w:rPr>
                <w:rFonts w:ascii="Calibri" w:hAnsi="Calibri" w:cs="Calibri"/>
              </w:rPr>
              <w:t>(</w:t>
            </w:r>
          </w:p>
          <w:p w14:paraId="1F0E3BF1" w14:textId="77777777" w:rsidR="00367515" w:rsidRDefault="00367515" w:rsidP="00367515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</w:t>
            </w:r>
            <w:r w:rsidRPr="00EC3EA4">
              <w:rPr>
                <w:rFonts w:ascii="Calibri" w:hAnsi="Calibri" w:cs="Calibri"/>
              </w:rPr>
              <w:t>cac:LegalMonetaryTotal/xs:decimal(cbc:TaxExclusiveAmount) +</w:t>
            </w:r>
          </w:p>
          <w:p w14:paraId="001E60C6" w14:textId="77777777" w:rsidR="00367515" w:rsidRDefault="00367515" w:rsidP="00367515">
            <w:pPr>
              <w:jc w:val="left"/>
              <w:rPr>
                <w:rFonts w:ascii="Calibri" w:hAnsi="Calibri" w:cs="Calibri"/>
              </w:rPr>
            </w:pPr>
            <w:bookmarkStart w:id="0" w:name="_Hlk113601142"/>
            <w:r>
              <w:rPr>
                <w:rFonts w:ascii="Calibri" w:hAnsi="Calibri" w:cs="Calibri"/>
              </w:rPr>
              <w:t xml:space="preserve">      </w:t>
            </w:r>
            <w:r w:rsidRPr="00EC3EA4">
              <w:rPr>
                <w:rFonts w:ascii="Calibri" w:hAnsi="Calibri" w:cs="Calibri"/>
              </w:rPr>
              <w:t>cac:TaxTotal/</w:t>
            </w:r>
            <w:bookmarkEnd w:id="0"/>
            <w:r w:rsidRPr="00EC3EA4">
              <w:rPr>
                <w:rFonts w:ascii="Calibri" w:hAnsi="Calibri" w:cs="Calibri"/>
              </w:rPr>
              <w:t>xs:decimal(cbc:TaxAmount[@currencyID=/*/cbc:DocumentCurrencyCode])</w:t>
            </w:r>
          </w:p>
          <w:p w14:paraId="287345B3" w14:textId="77777777" w:rsidR="00367515" w:rsidRDefault="00367515" w:rsidP="00367515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Pr="00EC3EA4">
              <w:rPr>
                <w:rFonts w:ascii="Calibri" w:hAnsi="Calibri" w:cs="Calibri"/>
              </w:rPr>
              <w:t>) * 10 * 10</w:t>
            </w:r>
          </w:p>
          <w:p w14:paraId="6945BF97" w14:textId="77777777" w:rsidR="00367515" w:rsidRDefault="00367515" w:rsidP="00367515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 w:rsidRPr="00EC3EA4">
              <w:rPr>
                <w:rFonts w:ascii="Calibri" w:hAnsi="Calibri" w:cs="Calibri"/>
              </w:rPr>
              <w:t>) div 100</w:t>
            </w:r>
          </w:p>
          <w:p w14:paraId="05ECF265" w14:textId="63E0F0D5" w:rsidR="00367515" w:rsidRPr="00C41456" w:rsidRDefault="00367515" w:rsidP="00367515">
            <w:pPr>
              <w:jc w:val="left"/>
              <w:rPr>
                <w:rFonts w:ascii="Calibri" w:hAnsi="Calibri" w:cs="Calibri"/>
              </w:rPr>
            </w:pPr>
            <w:r w:rsidRPr="00EC3EA4">
              <w:rPr>
                <w:rFonts w:ascii="Calibri" w:hAnsi="Calibri" w:cs="Calibri"/>
              </w:rPr>
              <w:t>)</w:t>
            </w:r>
          </w:p>
        </w:tc>
      </w:tr>
    </w:tbl>
    <w:p w14:paraId="6DF921EC" w14:textId="01670C73" w:rsidR="00187665" w:rsidRPr="00187665" w:rsidRDefault="00187665" w:rsidP="00487AE1">
      <w:pPr>
        <w:pStyle w:val="Heading2"/>
      </w:pPr>
      <w:r>
        <w:rPr>
          <w:rFonts w:hint="eastAsia"/>
        </w:rPr>
        <w:t>コードリスト</w:t>
      </w:r>
    </w:p>
    <w:p w14:paraId="2516FA1D" w14:textId="5C524292" w:rsidR="00187665" w:rsidRDefault="00187665" w:rsidP="00487AE1">
      <w:r>
        <w:t>JP PINT Invoice</w:t>
      </w:r>
      <w:r>
        <w:rPr>
          <w:rFonts w:hint="eastAsia"/>
        </w:rPr>
        <w:t>と同じ内容を使用する。</w:t>
      </w:r>
    </w:p>
    <w:p w14:paraId="78D97D81" w14:textId="293669AE" w:rsidR="00187665" w:rsidRDefault="00187665" w:rsidP="00487AE1">
      <w:pPr>
        <w:pStyle w:val="Heading2"/>
      </w:pPr>
      <w:r>
        <w:rPr>
          <w:rFonts w:hint="eastAsia"/>
        </w:rPr>
        <w:t>ルール</w:t>
      </w:r>
    </w:p>
    <w:p w14:paraId="7F2C4ED6" w14:textId="77777777" w:rsidR="00C96241" w:rsidRDefault="00187665" w:rsidP="00487AE1">
      <w:r>
        <w:rPr>
          <w:rFonts w:hint="eastAsia"/>
        </w:rPr>
        <w:t>消費税の金額に関連するルールは含めない。</w:t>
      </w:r>
    </w:p>
    <w:p w14:paraId="27810E01" w14:textId="235B4329" w:rsidR="00187665" w:rsidRPr="00187665" w:rsidRDefault="00952488" w:rsidP="00487AE1">
      <w:r>
        <w:rPr>
          <w:rFonts w:hint="eastAsia"/>
        </w:rPr>
        <w:t>但し、</w:t>
      </w:r>
      <w:r w:rsidR="00477184">
        <w:t>Tax Category Code</w:t>
      </w:r>
      <w:r w:rsidR="00477184">
        <w:rPr>
          <w:rFonts w:hint="eastAsia"/>
        </w:rPr>
        <w:t>とT</w:t>
      </w:r>
      <w:r w:rsidR="00477184">
        <w:t>ax Ratio</w:t>
      </w:r>
      <w:r w:rsidR="00477184">
        <w:rPr>
          <w:rFonts w:hint="eastAsia"/>
        </w:rPr>
        <w:t>のルールは残す。</w:t>
      </w:r>
    </w:p>
    <w:p w14:paraId="61DEEFE1" w14:textId="15CF151B" w:rsidR="00477184" w:rsidRPr="00757BE3" w:rsidRDefault="00477184" w:rsidP="00487AE1">
      <w:pPr>
        <w:pStyle w:val="Heading1"/>
      </w:pPr>
      <w:r>
        <w:rPr>
          <w:rFonts w:hint="eastAsia"/>
        </w:rPr>
        <w:t>対応案</w:t>
      </w:r>
    </w:p>
    <w:p w14:paraId="40A572F7" w14:textId="4C0CB08F" w:rsidR="00477184" w:rsidRDefault="00477184" w:rsidP="00487AE1">
      <w:pPr>
        <w:pStyle w:val="Heading2"/>
      </w:pPr>
      <w:r>
        <w:rPr>
          <w:rFonts w:hint="eastAsia"/>
        </w:rPr>
        <w:t>セマンティックモデル</w:t>
      </w:r>
    </w:p>
    <w:p w14:paraId="1DDE2ECD" w14:textId="1E5AB82F" w:rsidR="00FE245B" w:rsidRPr="00FE245B" w:rsidRDefault="00FE245B" w:rsidP="00FE245B">
      <w:r w:rsidRPr="00FE245B">
        <w:t>ibt-110</w:t>
      </w:r>
      <w:r w:rsidRPr="00FE245B">
        <w:tab/>
        <w:t xml:space="preserve"> Invoice total TAX amount</w:t>
      </w:r>
      <w:r w:rsidR="00030600">
        <w:rPr>
          <w:rFonts w:hint="eastAsia"/>
        </w:rPr>
        <w:t>は、S</w:t>
      </w:r>
      <w:r w:rsidR="00030600">
        <w:t>hared</w:t>
      </w:r>
      <w:r w:rsidR="00030600">
        <w:rPr>
          <w:rFonts w:hint="eastAsia"/>
        </w:rPr>
        <w:t>ルールで必要とされているので廃止せず</w:t>
      </w:r>
      <w:r>
        <w:rPr>
          <w:rFonts w:hint="eastAsia"/>
        </w:rPr>
        <w:t xml:space="preserve">にゼロ </w:t>
      </w:r>
      <w:r>
        <w:t xml:space="preserve">0 </w:t>
      </w:r>
      <w:r>
        <w:rPr>
          <w:rFonts w:hint="eastAsia"/>
        </w:rPr>
        <w:t>を定義する</w:t>
      </w:r>
      <w:r w:rsidR="00035091">
        <w:rPr>
          <w:rFonts w:hint="eastAsia"/>
        </w:rPr>
        <w:t>こととする</w:t>
      </w:r>
      <w:r>
        <w:rPr>
          <w:rFonts w:hint="eastAsia"/>
        </w:rPr>
        <w:t>。</w:t>
      </w:r>
    </w:p>
    <w:p w14:paraId="1AEA3352" w14:textId="0A0D2BCE" w:rsidR="00477184" w:rsidRDefault="00477184" w:rsidP="00487AE1">
      <w:r>
        <w:rPr>
          <w:rFonts w:hint="eastAsia"/>
        </w:rPr>
        <w:t>売り手事業者の登録番号および消費税の金額のC</w:t>
      </w:r>
      <w:r>
        <w:t>ardinality</w:t>
      </w:r>
      <w:r>
        <w:rPr>
          <w:rFonts w:hint="eastAsia"/>
        </w:rPr>
        <w:t>を0と</w:t>
      </w:r>
      <w:r w:rsidR="00FE245B">
        <w:rPr>
          <w:rFonts w:hint="eastAsia"/>
        </w:rPr>
        <w:t>し、使用しない</w:t>
      </w:r>
      <w:r>
        <w:rPr>
          <w:rFonts w:hint="eastAsia"/>
        </w:rPr>
        <w:t>。</w:t>
      </w:r>
    </w:p>
    <w:p w14:paraId="64C7AE35" w14:textId="02FCD8D0" w:rsidR="006950CF" w:rsidRPr="006950CF" w:rsidRDefault="006950CF" w:rsidP="006950CF">
      <w:r w:rsidRPr="006950CF">
        <w:t>ibt-006</w:t>
      </w:r>
      <w:r w:rsidRPr="006950CF">
        <w:rPr>
          <w:rFonts w:hint="eastAsia"/>
        </w:rPr>
        <w:t xml:space="preserve"> </w:t>
      </w:r>
      <w:r w:rsidRPr="006950CF">
        <w:t>Tax accounting currency</w:t>
      </w:r>
    </w:p>
    <w:p w14:paraId="31BE02D2" w14:textId="07DC2E21" w:rsidR="00135184" w:rsidRPr="00135184" w:rsidRDefault="00135184" w:rsidP="00487AE1">
      <w:r w:rsidRPr="00135184">
        <w:t>ibt-031 Seller TAX identifier</w:t>
      </w:r>
    </w:p>
    <w:p w14:paraId="617EF4AC" w14:textId="1C8242E5" w:rsidR="00135184" w:rsidRPr="00135184" w:rsidRDefault="00135184" w:rsidP="00487AE1">
      <w:r w:rsidRPr="00135184">
        <w:t>ibt-032 Seller TAX registration identifier</w:t>
      </w:r>
    </w:p>
    <w:p w14:paraId="0C10F803" w14:textId="32B0716C" w:rsidR="00135184" w:rsidRPr="00135184" w:rsidRDefault="00135184" w:rsidP="00487AE1">
      <w:r w:rsidRPr="00135184">
        <w:t>ibg-23 TAX BREAKDOWN</w:t>
      </w:r>
    </w:p>
    <w:p w14:paraId="020730C8" w14:textId="1F3E92BD" w:rsidR="00135184" w:rsidRPr="00135184" w:rsidRDefault="00135184" w:rsidP="00487AE1">
      <w:r w:rsidRPr="00135184">
        <w:t>ibt-116 TAX category taxable amount</w:t>
      </w:r>
    </w:p>
    <w:p w14:paraId="140A8361" w14:textId="70E24DDC" w:rsidR="00135184" w:rsidRDefault="00135184" w:rsidP="00487AE1">
      <w:r>
        <w:t>ibt-117</w:t>
      </w:r>
      <w:r>
        <w:tab/>
        <w:t xml:space="preserve"> TAX category tax amount</w:t>
      </w:r>
    </w:p>
    <w:p w14:paraId="17C7A698" w14:textId="2E457FDB" w:rsidR="00477184" w:rsidRDefault="00477184" w:rsidP="00487AE1">
      <w:pPr>
        <w:pStyle w:val="Heading2"/>
      </w:pPr>
      <w:r w:rsidRPr="00187665">
        <w:t>シンタクスバインディング</w:t>
      </w:r>
    </w:p>
    <w:p w14:paraId="538F210C" w14:textId="2309CDD0" w:rsidR="00FE245B" w:rsidRDefault="00FE245B" w:rsidP="00FE245B">
      <w:r>
        <w:t>/ubl:Invoice/cac:TaxTotal/cbc:TaxAmount</w:t>
      </w:r>
      <w:r>
        <w:rPr>
          <w:rFonts w:hint="eastAsia"/>
        </w:rPr>
        <w:t>には、固定値の0を定義する。</w:t>
      </w:r>
    </w:p>
    <w:p w14:paraId="3B46B932" w14:textId="71FD31AD" w:rsidR="00487AE1" w:rsidRDefault="00487AE1" w:rsidP="00487AE1">
      <w:r>
        <w:rPr>
          <w:rFonts w:hint="eastAsia"/>
        </w:rPr>
        <w:t>次の要素はU</w:t>
      </w:r>
      <w:r>
        <w:t>BL</w:t>
      </w:r>
      <w:r>
        <w:rPr>
          <w:rFonts w:hint="eastAsia"/>
        </w:rPr>
        <w:t>で使用しない。</w:t>
      </w:r>
    </w:p>
    <w:p w14:paraId="1967AC91" w14:textId="416E7D6A" w:rsidR="006950CF" w:rsidRDefault="006950CF" w:rsidP="00487AE1">
      <w:r>
        <w:t>&lt;</w:t>
      </w:r>
      <w:r w:rsidRPr="006950CF">
        <w:t xml:space="preserve"> cbc:TaxCurrencyCode</w:t>
      </w:r>
      <w:r>
        <w:t xml:space="preserve"> &gt;</w:t>
      </w:r>
    </w:p>
    <w:p w14:paraId="289A51DF" w14:textId="582DD97B" w:rsidR="006950CF" w:rsidRDefault="006950CF" w:rsidP="006950CF">
      <w:pPr>
        <w:spacing w:after="120"/>
      </w:pPr>
      <w:r w:rsidRPr="006950CF">
        <w:t>/ubl:Invoice/cbc:TaxCurrencyCode</w:t>
      </w:r>
    </w:p>
    <w:p w14:paraId="3F780631" w14:textId="7A9263C2" w:rsidR="007F3BB2" w:rsidRPr="00487AE1" w:rsidRDefault="007F3BB2" w:rsidP="00487AE1">
      <w:r>
        <w:rPr>
          <w:rFonts w:hint="eastAsia"/>
        </w:rPr>
        <w:t>&lt;</w:t>
      </w:r>
      <w:r w:rsidRPr="00A40C5B">
        <w:t xml:space="preserve"> </w:t>
      </w:r>
      <w:r>
        <w:t>cac:PartyTaxScheme &gt;</w:t>
      </w:r>
    </w:p>
    <w:p w14:paraId="3B331336" w14:textId="38921CCA" w:rsidR="00135184" w:rsidRDefault="00135184" w:rsidP="00487AE1">
      <w:r>
        <w:t>/ubl:Invoice/cac:AccountingSupplierParty/cac:Party/cac:PartyTaxScheme</w:t>
      </w:r>
    </w:p>
    <w:p w14:paraId="58673B7C" w14:textId="03B0CCB1" w:rsidR="00A40C5B" w:rsidRDefault="00A40C5B" w:rsidP="00487AE1">
      <w:r>
        <w:rPr>
          <w:rFonts w:hint="eastAsia"/>
        </w:rPr>
        <w:t>&lt;</w:t>
      </w:r>
      <w:r w:rsidRPr="00A40C5B">
        <w:t xml:space="preserve"> </w:t>
      </w:r>
      <w:r>
        <w:t>cac:PartyTaxScheme &gt;</w:t>
      </w:r>
      <w:r>
        <w:rPr>
          <w:rFonts w:hint="eastAsia"/>
        </w:rPr>
        <w:t>要素を使用しないことで、次の要素も現れない。</w:t>
      </w:r>
    </w:p>
    <w:p w14:paraId="3174DC0E" w14:textId="6D21CDD4" w:rsidR="00135184" w:rsidRDefault="00135184" w:rsidP="00487AE1">
      <w:r>
        <w:t>/ubl:Invoice/cac:AccountingSupplierParty/cac:Party/cac:PartyTaxScheme/cbc:CompanyID</w:t>
      </w:r>
    </w:p>
    <w:p w14:paraId="6B2ACBF7" w14:textId="44E2214C" w:rsidR="00135184" w:rsidRDefault="00135184" w:rsidP="00487AE1">
      <w:r>
        <w:t>/ubl:Invoice/cac:AccountingSupplierParty/cac:Party/cac:PartyTaxScheme/cac:TaxScheme</w:t>
      </w:r>
    </w:p>
    <w:p w14:paraId="73209EF2" w14:textId="5AE05751" w:rsidR="00A40C5B" w:rsidRDefault="00135184" w:rsidP="00A40C5B">
      <w:pPr>
        <w:spacing w:after="120"/>
      </w:pPr>
      <w:r>
        <w:t>/ubl:Invoice/cac:AccountingSupplierParty/cac:Party/cac:PartyTaxScheme/cac:TaxScheme/cbc:ID</w:t>
      </w:r>
    </w:p>
    <w:p w14:paraId="2B2959EA" w14:textId="52D955F6" w:rsidR="00FE245B" w:rsidRDefault="00FE245B" w:rsidP="00487AE1">
      <w:r>
        <w:t>&lt;</w:t>
      </w:r>
      <w:r w:rsidRPr="00A40C5B">
        <w:t xml:space="preserve"> </w:t>
      </w:r>
      <w:r>
        <w:t>cac:TaxSubtotal &gt;</w:t>
      </w:r>
    </w:p>
    <w:p w14:paraId="33370804" w14:textId="77777777" w:rsidR="00487AE1" w:rsidRDefault="00487AE1" w:rsidP="00487AE1">
      <w:r>
        <w:t>/ubl:Invoice/cac:TaxTotal/cac:TaxSubtotal</w:t>
      </w:r>
    </w:p>
    <w:p w14:paraId="6D95CC12" w14:textId="7A41126E" w:rsidR="00FE245B" w:rsidRDefault="00FE245B" w:rsidP="00FE245B">
      <w:r>
        <w:t>&lt;</w:t>
      </w:r>
      <w:r w:rsidRPr="00A40C5B">
        <w:t xml:space="preserve"> </w:t>
      </w:r>
      <w:r>
        <w:t>cac:TaxSubtotal &gt;</w:t>
      </w:r>
      <w:r>
        <w:rPr>
          <w:rFonts w:hint="eastAsia"/>
        </w:rPr>
        <w:t>要素を使用しないことで、次の要素も現れない。</w:t>
      </w:r>
    </w:p>
    <w:p w14:paraId="613B61E2" w14:textId="77777777" w:rsidR="00487AE1" w:rsidRDefault="00487AE1" w:rsidP="00487AE1">
      <w:r>
        <w:t>/ubl:Invoice/cac:TaxTotal/cac:TaxSubtotal/cbc:TaxableAmount</w:t>
      </w:r>
    </w:p>
    <w:p w14:paraId="7BFF0023" w14:textId="6B82932B" w:rsidR="00487AE1" w:rsidRDefault="00487AE1" w:rsidP="00487AE1">
      <w:r>
        <w:t>/ubl:Invoice/cac:TaxTotal/cac:TaxSubtotal/cbc:TaxAmount</w:t>
      </w:r>
    </w:p>
    <w:p w14:paraId="158998E8" w14:textId="18726A13" w:rsidR="00A40C5B" w:rsidRDefault="00A40C5B" w:rsidP="00A40C5B">
      <w:pPr>
        <w:pStyle w:val="Heading2"/>
      </w:pPr>
      <w:r>
        <w:rPr>
          <w:rFonts w:hint="eastAsia"/>
        </w:rPr>
        <w:t>コードリスト</w:t>
      </w:r>
    </w:p>
    <w:p w14:paraId="785C10B3" w14:textId="4C9D9496" w:rsidR="007F3BB2" w:rsidRDefault="007F3BB2" w:rsidP="007F3BB2">
      <w:r>
        <w:rPr>
          <w:rFonts w:hint="eastAsia"/>
        </w:rPr>
        <w:t>JP PINT</w:t>
      </w:r>
      <w:r>
        <w:t xml:space="preserve"> Invoice</w:t>
      </w:r>
      <w:r>
        <w:rPr>
          <w:rFonts w:hint="eastAsia"/>
        </w:rPr>
        <w:t>と同じ</w:t>
      </w:r>
    </w:p>
    <w:p w14:paraId="57D96999" w14:textId="02B6A803" w:rsidR="007F3BB2" w:rsidRDefault="007F3BB2" w:rsidP="007F3BB2">
      <w:pPr>
        <w:pStyle w:val="Heading2"/>
      </w:pPr>
      <w:r>
        <w:rPr>
          <w:rFonts w:hint="eastAsia"/>
        </w:rPr>
        <w:t>ルール</w:t>
      </w:r>
    </w:p>
    <w:p w14:paraId="34582AD2" w14:textId="3C090BC8" w:rsidR="007F3BB2" w:rsidRDefault="00C44168" w:rsidP="00C44168">
      <w:pPr>
        <w:pStyle w:val="Heading3"/>
      </w:pPr>
      <w:r>
        <w:rPr>
          <w:rFonts w:hint="eastAsia"/>
        </w:rPr>
        <w:t>Shared</w:t>
      </w:r>
      <w:r w:rsidR="00734FE2">
        <w:rPr>
          <w:rFonts w:hint="eastAsia"/>
        </w:rPr>
        <w:t>ルール</w:t>
      </w:r>
    </w:p>
    <w:p w14:paraId="4215DBFC" w14:textId="7082C4CB" w:rsidR="00150415" w:rsidRPr="00150415" w:rsidRDefault="00150415" w:rsidP="00150415">
      <w:r>
        <w:rPr>
          <w:rFonts w:hint="eastAsia"/>
        </w:rPr>
        <w:t>次のルールが関連する。それぞれのルールについての対応策を示す。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7643"/>
      </w:tblGrid>
      <w:tr w:rsidR="00C44168" w:rsidRPr="00C44168" w14:paraId="6954B7DF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  <w:hideMark/>
          </w:tcPr>
          <w:p w14:paraId="28B92724" w14:textId="77777777" w:rsidR="00C44168" w:rsidRPr="00C44168" w:rsidRDefault="00000000" w:rsidP="00C44168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hyperlink r:id="rId7" w:history="1">
              <w:r w:rsidR="00C44168" w:rsidRPr="00C44168">
                <w:rPr>
                  <w:rFonts w:ascii="Segoe UI" w:eastAsia="Times New Roman" w:hAnsi="Segoe UI" w:cs="Segoe UI"/>
                  <w:color w:val="007BFF"/>
                  <w:u w:val="single"/>
                </w:rPr>
                <w:t>ibr-co-26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  <w:hideMark/>
          </w:tcPr>
          <w:p w14:paraId="621F6439" w14:textId="77777777" w:rsidR="00C44168" w:rsidRPr="00C44168" w:rsidRDefault="00C44168" w:rsidP="00C44168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 w:rsidRPr="00C44168">
              <w:rPr>
                <w:rFonts w:ascii="Segoe UI" w:eastAsia="Times New Roman" w:hAnsi="Segoe UI" w:cs="Segoe UI"/>
                <w:color w:val="212529"/>
              </w:rPr>
              <w:t>[ibr-co-26]-In order for the buyer to automatically identify a supplier, the Seller identifier (ibt-029), the Seller legal registration identifier (ibt-030) and/or the Seller Tax identifier (ibt-031) MUST be present.</w:t>
            </w:r>
          </w:p>
        </w:tc>
      </w:tr>
      <w:tr w:rsidR="00CA004B" w:rsidRPr="00C44168" w14:paraId="6D077D33" w14:textId="77777777" w:rsidTr="00247127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D9AB67C" w14:textId="77777777" w:rsidR="00CA004B" w:rsidRPr="00C44168" w:rsidRDefault="00CA004B" w:rsidP="00CA004B">
            <w:pPr>
              <w:widowControl/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Context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35773F0" w14:textId="77777777" w:rsidR="00CA004B" w:rsidRPr="00C44168" w:rsidRDefault="00CA004B" w:rsidP="00247127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cac:AccountingSupplierParty/cac:Party</w:t>
            </w:r>
          </w:p>
        </w:tc>
      </w:tr>
      <w:tr w:rsidR="00CA004B" w:rsidRPr="00C44168" w14:paraId="6B258325" w14:textId="77777777" w:rsidTr="00247127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535B0483" w14:textId="77777777" w:rsidR="00CA004B" w:rsidRPr="00C44168" w:rsidRDefault="00CA004B" w:rsidP="00CA004B">
            <w:pPr>
              <w:widowControl/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Test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65C90083" w14:textId="77777777" w:rsidR="00CA004B" w:rsidRPr="00C44168" w:rsidRDefault="00CA004B" w:rsidP="00247127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exists(cac:PartyTaxScheme/cbc:CompanyID) or exists(cac:PartyIdentification/cbc:ID) or exists(cac:PartyLegalEntity/cbc:CompanyID)</w:t>
            </w:r>
          </w:p>
        </w:tc>
      </w:tr>
      <w:tr w:rsidR="007C5B14" w:rsidRPr="00C44168" w14:paraId="6C2B8947" w14:textId="77777777" w:rsidTr="00247127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78C17211" w14:textId="7F2AA7D2" w:rsidR="007C5B14" w:rsidRPr="00A35CE3" w:rsidRDefault="007C5B14" w:rsidP="00CA004B">
            <w:pPr>
              <w:widowControl/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対応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3041ECF0" w14:textId="5B86FDD3" w:rsidR="007C5B14" w:rsidRPr="00A35CE3" w:rsidRDefault="007C5B14" w:rsidP="00247127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 w:rsidRPr="00C44168">
              <w:rPr>
                <w:rFonts w:ascii="Segoe UI" w:eastAsia="Times New Roman" w:hAnsi="Segoe UI" w:cs="Segoe UI"/>
                <w:color w:val="212529"/>
              </w:rPr>
              <w:t>MUST be present</w:t>
            </w:r>
            <w:r>
              <w:rPr>
                <w:rFonts w:ascii="ＭＳ 明朝" w:eastAsia="ＭＳ 明朝" w:hAnsi="ＭＳ 明朝" w:cs="ＭＳ 明朝" w:hint="eastAsia"/>
                <w:color w:val="212529"/>
              </w:rPr>
              <w:t>とされているので、無効であることを示すコード(例:</w:t>
            </w:r>
            <w:r>
              <w:rPr>
                <w:rFonts w:ascii="ＭＳ 明朝" w:eastAsia="ＭＳ 明朝" w:hAnsi="ＭＳ 明朝" w:cs="ＭＳ 明朝"/>
                <w:color w:val="212529"/>
              </w:rPr>
              <w:t xml:space="preserve"> NA)</w:t>
            </w:r>
            <w:r>
              <w:rPr>
                <w:rFonts w:ascii="ＭＳ 明朝" w:eastAsia="ＭＳ 明朝" w:hAnsi="ＭＳ 明朝" w:cs="ＭＳ 明朝" w:hint="eastAsia"/>
                <w:color w:val="212529"/>
              </w:rPr>
              <w:t>を記載する</w:t>
            </w:r>
          </w:p>
        </w:tc>
      </w:tr>
      <w:bookmarkStart w:id="1" w:name="_Hlk113600485"/>
      <w:tr w:rsidR="00C44168" w:rsidRPr="00C44168" w14:paraId="5B0898A7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749D2003" w14:textId="5A54C434" w:rsidR="00C44168" w:rsidRPr="00C44168" w:rsidRDefault="00000000" w:rsidP="00C44168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fldChar w:fldCharType="begin"/>
            </w:r>
            <w:r>
              <w:instrText xml:space="preserve"> HYPERLINK "https://test-docs.peppol.eu/pint/pint-jp/work-v1/pint-jp/trn-invoice/rule/ibr-084/" </w:instrText>
            </w:r>
            <w:r>
              <w:fldChar w:fldCharType="separate"/>
            </w:r>
            <w:r w:rsidR="00C44168">
              <w:rPr>
                <w:rStyle w:val="Hyperlink"/>
                <w:rFonts w:ascii="Segoe UI" w:hAnsi="Segoe UI" w:cs="Segoe UI"/>
                <w:color w:val="0056B3"/>
              </w:rPr>
              <w:t>ibr-084</w:t>
            </w:r>
            <w:r>
              <w:rPr>
                <w:rStyle w:val="Hyperlink"/>
                <w:rFonts w:ascii="Segoe UI" w:hAnsi="Segoe UI" w:cs="Segoe UI"/>
                <w:color w:val="0056B3"/>
              </w:rPr>
              <w:fldChar w:fldCharType="end"/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4AE1FF36" w14:textId="00F7D224" w:rsidR="00C44168" w:rsidRPr="00C44168" w:rsidRDefault="00C44168" w:rsidP="00C44168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[ibr-084]-Invoice total tax amount (ibt-110) and Invoice total tax amount in accounting currency (ibt-111) MUST have the same operational sign.</w:t>
            </w:r>
          </w:p>
        </w:tc>
      </w:tr>
      <w:bookmarkEnd w:id="1"/>
      <w:tr w:rsidR="00CA004B" w:rsidRPr="00C44168" w14:paraId="30C38B3A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3078EDE7" w14:textId="43D803DA" w:rsidR="00CA004B" w:rsidRDefault="00CA004B" w:rsidP="00CA004B">
            <w:pPr>
              <w:widowControl/>
              <w:spacing w:line="240" w:lineRule="auto"/>
              <w:jc w:val="center"/>
              <w:rPr>
                <w:rFonts w:ascii="Segoe UI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Context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A4B95EE" w14:textId="19CCE948" w:rsidR="00CA004B" w:rsidRDefault="00CA004B" w:rsidP="00CA004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CA004B">
              <w:rPr>
                <w:rFonts w:ascii="Segoe UI" w:hAnsi="Segoe UI" w:cs="Segoe UI"/>
                <w:color w:val="212529"/>
              </w:rPr>
              <w:t>/ubl:Invoice | /cn:CreditNote</w:t>
            </w:r>
          </w:p>
        </w:tc>
      </w:tr>
      <w:tr w:rsidR="00CA004B" w:rsidRPr="00C44168" w14:paraId="01DD978C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58C0F9A6" w14:textId="5118A33A" w:rsidR="00CA004B" w:rsidRDefault="00CA004B" w:rsidP="00CA004B">
            <w:pPr>
              <w:widowControl/>
              <w:spacing w:line="240" w:lineRule="auto"/>
              <w:jc w:val="center"/>
              <w:rPr>
                <w:rFonts w:ascii="Segoe UI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Test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4BC52D21" w14:textId="77777777" w:rsidR="00CA004B" w:rsidRDefault="00CA004B" w:rsidP="00CA004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CA004B">
              <w:rPr>
                <w:rFonts w:ascii="Segoe UI" w:hAnsi="Segoe UI" w:cs="Segoe UI"/>
                <w:color w:val="212529"/>
              </w:rPr>
              <w:t>not(cbc:TaxCurrencyCode) or</w:t>
            </w:r>
          </w:p>
          <w:p w14:paraId="7CDC8252" w14:textId="77777777" w:rsidR="00CA004B" w:rsidRDefault="00CA004B" w:rsidP="00CA004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CA004B">
              <w:rPr>
                <w:rFonts w:ascii="Segoe UI" w:hAnsi="Segoe UI" w:cs="Segoe UI"/>
                <w:color w:val="212529"/>
              </w:rPr>
              <w:t>(</w:t>
            </w:r>
          </w:p>
          <w:p w14:paraId="662FD710" w14:textId="77777777" w:rsidR="00CA004B" w:rsidRDefault="00CA004B" w:rsidP="00CA004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  </w:t>
            </w:r>
            <w:r w:rsidRPr="00CA004B">
              <w:rPr>
                <w:rFonts w:ascii="Segoe UI" w:hAnsi="Segoe UI" w:cs="Segoe UI"/>
                <w:color w:val="212529"/>
              </w:rPr>
              <w:t>cac:TaxTotal/cbc:TaxAmount[@currencyID=normalize-space(../../cbc:TaxCurrencyCode)] &lt;= 0 and</w:t>
            </w:r>
          </w:p>
          <w:p w14:paraId="7635AA46" w14:textId="77777777" w:rsidR="007C5B14" w:rsidRDefault="00CA004B" w:rsidP="00CA004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 </w:t>
            </w:r>
            <w:r w:rsidRPr="00CA004B">
              <w:rPr>
                <w:rFonts w:ascii="Segoe UI" w:hAnsi="Segoe UI" w:cs="Segoe UI"/>
                <w:color w:val="212529"/>
              </w:rPr>
              <w:t xml:space="preserve"> cac:TaxTotal/cbc:TaxAmount[@currencyID=normalize-space(../../cbc:DocumentCurrencyCode)] &lt;= 0</w:t>
            </w:r>
          </w:p>
          <w:p w14:paraId="304DE4BA" w14:textId="77777777" w:rsidR="007C5B14" w:rsidRDefault="00CA004B" w:rsidP="00CA004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CA004B">
              <w:rPr>
                <w:rFonts w:ascii="Segoe UI" w:hAnsi="Segoe UI" w:cs="Segoe UI"/>
                <w:color w:val="212529"/>
              </w:rPr>
              <w:t xml:space="preserve">) or </w:t>
            </w:r>
          </w:p>
          <w:p w14:paraId="0AFFD32E" w14:textId="77777777" w:rsidR="007C5B14" w:rsidRDefault="00CA004B" w:rsidP="00CA004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CA004B">
              <w:rPr>
                <w:rFonts w:ascii="Segoe UI" w:hAnsi="Segoe UI" w:cs="Segoe UI"/>
                <w:color w:val="212529"/>
              </w:rPr>
              <w:t>(</w:t>
            </w:r>
          </w:p>
          <w:p w14:paraId="0C6E564E" w14:textId="77777777" w:rsidR="007C5B14" w:rsidRDefault="007C5B14" w:rsidP="00CA004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  </w:t>
            </w:r>
            <w:r w:rsidR="00CA004B" w:rsidRPr="00CA004B">
              <w:rPr>
                <w:rFonts w:ascii="Segoe UI" w:hAnsi="Segoe UI" w:cs="Segoe UI"/>
                <w:color w:val="212529"/>
              </w:rPr>
              <w:t>cac:TaxTotal/cbc:TaxAmount[@currencyID=normalize-space(../../cbc:TaxCurrencyCode)] &gt;= 0 and</w:t>
            </w:r>
          </w:p>
          <w:p w14:paraId="76CFD0D7" w14:textId="77777777" w:rsidR="007C5B14" w:rsidRDefault="007C5B14" w:rsidP="00CA004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 </w:t>
            </w:r>
            <w:r w:rsidR="00CA004B" w:rsidRPr="00CA004B">
              <w:rPr>
                <w:rFonts w:ascii="Segoe UI" w:hAnsi="Segoe UI" w:cs="Segoe UI"/>
                <w:color w:val="212529"/>
              </w:rPr>
              <w:t xml:space="preserve"> cac:TaxTotal/cbc:TaxAmount[@currencyID=normalize-space(../../cbc:DocumentCurrencyCode)] &gt;= 0</w:t>
            </w:r>
          </w:p>
          <w:p w14:paraId="7E363D60" w14:textId="765D5D43" w:rsidR="00CA004B" w:rsidRDefault="00CA004B" w:rsidP="00CA004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CA004B">
              <w:rPr>
                <w:rFonts w:ascii="Segoe UI" w:hAnsi="Segoe UI" w:cs="Segoe UI"/>
                <w:color w:val="212529"/>
              </w:rPr>
              <w:t>)</w:t>
            </w:r>
          </w:p>
        </w:tc>
      </w:tr>
      <w:tr w:rsidR="007C5B14" w:rsidRPr="00C44168" w14:paraId="3812DFDF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4F79434" w14:textId="3D909C45" w:rsidR="007C5B14" w:rsidRPr="00A35CE3" w:rsidRDefault="007C5B14" w:rsidP="00CA004B">
            <w:pPr>
              <w:widowControl/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対応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48FD4A29" w14:textId="415FD6DA" w:rsidR="007C5B14" w:rsidRPr="00CA004B" w:rsidRDefault="00894F2C" w:rsidP="00CA004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7C5B14">
              <w:rPr>
                <w:rFonts w:ascii="Segoe UI" w:hAnsi="Segoe UI" w:cs="Segoe UI"/>
                <w:color w:val="212529"/>
              </w:rPr>
              <w:t>/ubl:Invoice/</w:t>
            </w:r>
            <w:r w:rsidR="006950CF" w:rsidRPr="00CA004B">
              <w:rPr>
                <w:rFonts w:ascii="Segoe UI" w:hAnsi="Segoe UI" w:cs="Segoe UI"/>
                <w:color w:val="212529"/>
              </w:rPr>
              <w:t>cbc:TaxCurrencyCode</w:t>
            </w:r>
            <w:r w:rsidR="006950CF">
              <w:rPr>
                <w:rFonts w:ascii="Segoe UI" w:hAnsi="Segoe UI" w:cs="Segoe UI" w:hint="eastAsia"/>
                <w:color w:val="212529"/>
              </w:rPr>
              <w:t>を使用しなければ前提条件が成立しないのでこのルールは起動されない</w:t>
            </w:r>
            <w:r>
              <w:rPr>
                <w:rFonts w:ascii="Segoe UI" w:hAnsi="Segoe UI" w:cs="Segoe UI" w:hint="eastAsia"/>
                <w:color w:val="212529"/>
              </w:rPr>
              <w:t>。このためルールがあっても影響なし。</w:t>
            </w:r>
          </w:p>
        </w:tc>
      </w:tr>
      <w:tr w:rsidR="00A35CE3" w:rsidRPr="00C44168" w14:paraId="50186197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54E7F086" w14:textId="72F10B26" w:rsidR="00A35CE3" w:rsidRPr="00C44168" w:rsidRDefault="00000000" w:rsidP="00A35CE3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hyperlink r:id="rId8" w:history="1">
              <w:r w:rsidR="00A35CE3">
                <w:rPr>
                  <w:rStyle w:val="Hyperlink"/>
                  <w:rFonts w:ascii="Segoe UI" w:hAnsi="Segoe UI" w:cs="Segoe UI"/>
                  <w:color w:val="007BFF"/>
                </w:rPr>
                <w:t>ibr-124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61032111" w14:textId="2445B2A8" w:rsidR="00A35CE3" w:rsidRPr="00C44168" w:rsidRDefault="00A35CE3" w:rsidP="00A35CE3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[ibr-124]-Invoice total TAX amount (ibt-110) MUST have no more than 2 decimals.</w:t>
            </w:r>
          </w:p>
        </w:tc>
      </w:tr>
      <w:tr w:rsidR="007C5B14" w:rsidRPr="00C44168" w14:paraId="6A229FA0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5C9FF7C6" w14:textId="30824545" w:rsidR="007C5B14" w:rsidRDefault="007C5B14" w:rsidP="007C5B14">
            <w:pPr>
              <w:widowControl/>
              <w:spacing w:line="240" w:lineRule="auto"/>
              <w:jc w:val="center"/>
              <w:rPr>
                <w:rFonts w:ascii="Segoe UI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Context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7FF160FC" w14:textId="1A2997D0" w:rsidR="007C5B14" w:rsidRDefault="007C5B14" w:rsidP="007C5B14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7C5B14">
              <w:rPr>
                <w:rFonts w:ascii="Segoe UI" w:hAnsi="Segoe UI" w:cs="Segoe UI"/>
                <w:color w:val="212529"/>
              </w:rPr>
              <w:t>/ubl:Invoice/cac:TaxTotal | /cn:CreditNote/cac:Taxtotal</w:t>
            </w:r>
          </w:p>
        </w:tc>
      </w:tr>
      <w:tr w:rsidR="007C5B14" w:rsidRPr="00C44168" w14:paraId="3AA33333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4D52B589" w14:textId="10A8286F" w:rsidR="007C5B14" w:rsidRDefault="007C5B14" w:rsidP="007C5B14">
            <w:pPr>
              <w:widowControl/>
              <w:spacing w:line="240" w:lineRule="auto"/>
              <w:jc w:val="center"/>
              <w:rPr>
                <w:rFonts w:ascii="Segoe UI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Test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790B1EA2" w14:textId="7B5D83FD" w:rsidR="007C5B14" w:rsidRDefault="007C5B14" w:rsidP="007C5B14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7C5B14">
              <w:rPr>
                <w:rFonts w:ascii="Segoe UI" w:hAnsi="Segoe UI" w:cs="Segoe UI"/>
                <w:color w:val="212529"/>
              </w:rPr>
              <w:t>string-length(substring-after(cbc:TaxAmount, '.')) &lt;= 2</w:t>
            </w:r>
          </w:p>
        </w:tc>
      </w:tr>
      <w:tr w:rsidR="006950CF" w:rsidRPr="00C44168" w14:paraId="128C9D34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5CA36464" w14:textId="0DEAF8AA" w:rsidR="006950CF" w:rsidRPr="00A35CE3" w:rsidRDefault="006950CF" w:rsidP="007C5B14">
            <w:pPr>
              <w:widowControl/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対応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034F4166" w14:textId="4B99E4DD" w:rsidR="006950CF" w:rsidRPr="007C5B14" w:rsidRDefault="00894F2C" w:rsidP="007C5B14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7C5B14">
              <w:rPr>
                <w:rFonts w:ascii="Segoe UI" w:hAnsi="Segoe UI" w:cs="Segoe UI"/>
                <w:color w:val="212529"/>
              </w:rPr>
              <w:t>/ubl:Invoice/cac:TaxTotal</w:t>
            </w:r>
            <w:r w:rsidR="00FE245B">
              <w:rPr>
                <w:rFonts w:ascii="Segoe UI" w:hAnsi="Segoe UI" w:cs="Segoe UI" w:hint="eastAsia"/>
                <w:color w:val="212529"/>
              </w:rPr>
              <w:t>には固定値</w:t>
            </w:r>
            <w:r w:rsidR="00FE245B">
              <w:rPr>
                <w:rFonts w:ascii="Segoe UI" w:hAnsi="Segoe UI" w:cs="Segoe UI" w:hint="eastAsia"/>
                <w:color w:val="212529"/>
              </w:rPr>
              <w:t xml:space="preserve"> </w:t>
            </w:r>
            <w:r w:rsidR="00FE245B">
              <w:rPr>
                <w:rFonts w:ascii="Segoe UI" w:hAnsi="Segoe UI" w:cs="Segoe UI"/>
                <w:color w:val="212529"/>
              </w:rPr>
              <w:t xml:space="preserve">0 </w:t>
            </w:r>
            <w:r w:rsidR="00FE245B">
              <w:rPr>
                <w:rFonts w:ascii="Segoe UI" w:hAnsi="Segoe UI" w:cs="Segoe UI" w:hint="eastAsia"/>
                <w:color w:val="212529"/>
              </w:rPr>
              <w:t>を定義する</w:t>
            </w:r>
            <w:r>
              <w:rPr>
                <w:rFonts w:ascii="Segoe UI" w:hAnsi="Segoe UI" w:cs="Segoe UI" w:hint="eastAsia"/>
                <w:color w:val="212529"/>
              </w:rPr>
              <w:t>。</w:t>
            </w:r>
          </w:p>
        </w:tc>
      </w:tr>
      <w:tr w:rsidR="00A35CE3" w:rsidRPr="00C44168" w14:paraId="0AF3BDC9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6363EFF8" w14:textId="521FBB7C" w:rsidR="00A35CE3" w:rsidRPr="00C44168" w:rsidRDefault="00000000" w:rsidP="00A35CE3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hyperlink r:id="rId9" w:history="1">
              <w:r w:rsidR="00A35CE3">
                <w:rPr>
                  <w:rStyle w:val="Hyperlink"/>
                  <w:rFonts w:ascii="Segoe UI" w:hAnsi="Segoe UI" w:cs="Segoe UI"/>
                  <w:color w:val="007BFF"/>
                </w:rPr>
                <w:t>ibr-co-14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0BF9D883" w14:textId="266866E1" w:rsidR="00A35CE3" w:rsidRPr="00C44168" w:rsidRDefault="00A35CE3" w:rsidP="00A35CE3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[ibr-co-14]-Invoice total Tax amount (ibt-110) = Σ Tax category tax amount (ibt-117).</w:t>
            </w:r>
          </w:p>
        </w:tc>
      </w:tr>
      <w:tr w:rsidR="00894F2C" w:rsidRPr="00C44168" w14:paraId="43D5C599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66A8AD8F" w14:textId="1820B629" w:rsidR="00894F2C" w:rsidRDefault="00894F2C" w:rsidP="00894F2C">
            <w:pPr>
              <w:widowControl/>
              <w:spacing w:line="240" w:lineRule="auto"/>
              <w:jc w:val="center"/>
              <w:rPr>
                <w:rFonts w:ascii="Segoe UI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Context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70172AE7" w14:textId="3DE9D4DD" w:rsidR="00894F2C" w:rsidRDefault="00894F2C" w:rsidP="00894F2C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894F2C">
              <w:rPr>
                <w:rFonts w:ascii="Segoe UI" w:hAnsi="Segoe UI" w:cs="Segoe UI"/>
                <w:color w:val="212529"/>
              </w:rPr>
              <w:t>/ubl:Invoice/cac:TaxTotal | /cn:CreditNote/cac:Taxtotal</w:t>
            </w:r>
          </w:p>
        </w:tc>
      </w:tr>
      <w:tr w:rsidR="00894F2C" w:rsidRPr="00C44168" w14:paraId="4CBF5651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7B0A44C9" w14:textId="39F8EF8D" w:rsidR="00894F2C" w:rsidRDefault="00894F2C" w:rsidP="00894F2C">
            <w:pPr>
              <w:widowControl/>
              <w:spacing w:line="240" w:lineRule="auto"/>
              <w:jc w:val="center"/>
              <w:rPr>
                <w:rFonts w:ascii="Segoe UI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Test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F954791" w14:textId="77777777" w:rsidR="00894F2C" w:rsidRDefault="00894F2C" w:rsidP="00894F2C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894F2C">
              <w:rPr>
                <w:rFonts w:ascii="Segoe UI" w:hAnsi="Segoe UI" w:cs="Segoe UI"/>
                <w:color w:val="212529"/>
              </w:rPr>
              <w:t>(</w:t>
            </w:r>
          </w:p>
          <w:p w14:paraId="165C7ED2" w14:textId="77777777" w:rsidR="00894F2C" w:rsidRDefault="00894F2C" w:rsidP="00894F2C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  </w:t>
            </w:r>
            <w:r w:rsidRPr="00894F2C">
              <w:rPr>
                <w:rFonts w:ascii="Segoe UI" w:hAnsi="Segoe UI" w:cs="Segoe UI"/>
                <w:color w:val="212529"/>
              </w:rPr>
              <w:t xml:space="preserve">xs:decimal(child::cbc:TaxAmount)= </w:t>
            </w:r>
          </w:p>
          <w:p w14:paraId="176EEF3C" w14:textId="77777777" w:rsidR="00894F2C" w:rsidRDefault="00894F2C" w:rsidP="00894F2C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  </w:t>
            </w:r>
            <w:r w:rsidRPr="00894F2C">
              <w:rPr>
                <w:rFonts w:ascii="Segoe UI" w:hAnsi="Segoe UI" w:cs="Segoe UI"/>
                <w:color w:val="212529"/>
              </w:rPr>
              <w:t>round(</w:t>
            </w:r>
          </w:p>
          <w:p w14:paraId="5CF049E9" w14:textId="465FFE2D" w:rsidR="00894F2C" w:rsidRDefault="00894F2C" w:rsidP="00894F2C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    </w:t>
            </w:r>
            <w:r w:rsidRPr="00894F2C">
              <w:rPr>
                <w:rFonts w:ascii="Segoe UI" w:hAnsi="Segoe UI" w:cs="Segoe UI"/>
                <w:color w:val="212529"/>
              </w:rPr>
              <w:t>(sum(cac:TaxSubtotal/xs:decimal(cbc:TaxAmount)) * 10 * 10)</w:t>
            </w:r>
          </w:p>
          <w:p w14:paraId="0E3DC21B" w14:textId="77777777" w:rsidR="00894F2C" w:rsidRDefault="00894F2C" w:rsidP="00894F2C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  </w:t>
            </w:r>
            <w:r w:rsidRPr="00894F2C">
              <w:rPr>
                <w:rFonts w:ascii="Segoe UI" w:hAnsi="Segoe UI" w:cs="Segoe UI"/>
                <w:color w:val="212529"/>
              </w:rPr>
              <w:t>) div 100</w:t>
            </w:r>
          </w:p>
          <w:p w14:paraId="6F5B8CEA" w14:textId="77777777" w:rsidR="00894F2C" w:rsidRDefault="00894F2C" w:rsidP="00894F2C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894F2C">
              <w:rPr>
                <w:rFonts w:ascii="Segoe UI" w:hAnsi="Segoe UI" w:cs="Segoe UI"/>
                <w:color w:val="212529"/>
              </w:rPr>
              <w:t xml:space="preserve">) or </w:t>
            </w:r>
          </w:p>
          <w:p w14:paraId="53FDDACA" w14:textId="724C2CB2" w:rsidR="00894F2C" w:rsidRDefault="00894F2C" w:rsidP="00894F2C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894F2C">
              <w:rPr>
                <w:rFonts w:ascii="Segoe UI" w:hAnsi="Segoe UI" w:cs="Segoe UI"/>
                <w:color w:val="212529"/>
              </w:rPr>
              <w:t>not(cac:TaxSubtotal)</w:t>
            </w:r>
          </w:p>
        </w:tc>
      </w:tr>
      <w:tr w:rsidR="00894F2C" w:rsidRPr="00C44168" w14:paraId="4B9EA780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635F4095" w14:textId="1E0AD7F4" w:rsidR="00894F2C" w:rsidRDefault="00894F2C" w:rsidP="00894F2C">
            <w:pPr>
              <w:widowControl/>
              <w:spacing w:line="240" w:lineRule="auto"/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対応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0157F1BA" w14:textId="0A59D63A" w:rsidR="00734FE2" w:rsidRDefault="00734FE2" w:rsidP="00894F2C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7C5B14">
              <w:rPr>
                <w:rFonts w:ascii="Segoe UI" w:hAnsi="Segoe UI" w:cs="Segoe UI"/>
                <w:color w:val="212529"/>
              </w:rPr>
              <w:t>/ubl:Invoice/cac:TaxTotal</w:t>
            </w:r>
            <w:r>
              <w:rPr>
                <w:rFonts w:ascii="Segoe UI" w:hAnsi="Segoe UI" w:cs="Segoe UI" w:hint="eastAsia"/>
                <w:color w:val="212529"/>
              </w:rPr>
              <w:t>には固定値</w:t>
            </w:r>
            <w:r>
              <w:rPr>
                <w:rFonts w:ascii="Segoe UI" w:hAnsi="Segoe UI" w:cs="Segoe UI" w:hint="eastAsia"/>
                <w:color w:val="212529"/>
              </w:rPr>
              <w:t xml:space="preserve"> </w:t>
            </w:r>
            <w:r>
              <w:rPr>
                <w:rFonts w:ascii="Segoe UI" w:hAnsi="Segoe UI" w:cs="Segoe UI"/>
                <w:color w:val="212529"/>
              </w:rPr>
              <w:t xml:space="preserve">0 </w:t>
            </w:r>
            <w:r>
              <w:rPr>
                <w:rFonts w:ascii="Segoe UI" w:hAnsi="Segoe UI" w:cs="Segoe UI" w:hint="eastAsia"/>
                <w:color w:val="212529"/>
              </w:rPr>
              <w:t>を定義する</w:t>
            </w:r>
            <w:r>
              <w:rPr>
                <w:rFonts w:ascii="Segoe UI" w:hAnsi="Segoe UI" w:cs="Segoe UI" w:hint="eastAsia"/>
                <w:color w:val="212529"/>
              </w:rPr>
              <w:t>(</w:t>
            </w:r>
            <w:r>
              <w:rPr>
                <w:rFonts w:ascii="Segoe UI" w:hAnsi="Segoe UI" w:cs="Segoe UI" w:hint="eastAsia"/>
                <w:color w:val="212529"/>
              </w:rPr>
              <w:t>同上</w:t>
            </w:r>
            <w:r>
              <w:rPr>
                <w:rFonts w:ascii="Segoe UI" w:hAnsi="Segoe UI" w:cs="Segoe UI" w:hint="eastAsia"/>
                <w:color w:val="212529"/>
              </w:rPr>
              <w:t>)</w:t>
            </w:r>
            <w:r>
              <w:rPr>
                <w:rFonts w:ascii="Segoe UI" w:hAnsi="Segoe UI" w:cs="Segoe UI" w:hint="eastAsia"/>
                <w:color w:val="212529"/>
              </w:rPr>
              <w:t>。</w:t>
            </w:r>
          </w:p>
          <w:p w14:paraId="583D8831" w14:textId="62640829" w:rsidR="00894F2C" w:rsidRDefault="00E931AB" w:rsidP="00894F2C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7C5B14">
              <w:rPr>
                <w:rFonts w:ascii="Segoe UI" w:hAnsi="Segoe UI" w:cs="Segoe UI"/>
                <w:color w:val="212529"/>
              </w:rPr>
              <w:t>/ubl:Invoice/cac:TaxTotal</w:t>
            </w:r>
            <w:r>
              <w:rPr>
                <w:rFonts w:ascii="Segoe UI" w:hAnsi="Segoe UI" w:cs="Segoe UI" w:hint="eastAsia"/>
                <w:color w:val="212529"/>
              </w:rPr>
              <w:t>を使用しなければ前提条件が成立しないのでこのルールは起動されない</w:t>
            </w:r>
            <w:r w:rsidR="00FE245B">
              <w:rPr>
                <w:rFonts w:ascii="Segoe UI" w:hAnsi="Segoe UI" w:cs="Segoe UI" w:hint="eastAsia"/>
                <w:color w:val="212529"/>
              </w:rPr>
              <w:t>が、</w:t>
            </w:r>
            <w:r w:rsidR="00734FE2">
              <w:rPr>
                <w:rFonts w:ascii="Segoe UI" w:hAnsi="Segoe UI" w:cs="Segoe UI" w:hint="eastAsia"/>
                <w:color w:val="212529"/>
              </w:rPr>
              <w:t>次の</w:t>
            </w:r>
            <w:r w:rsidR="00FE245B">
              <w:rPr>
                <w:rFonts w:ascii="Segoe UI" w:hAnsi="Segoe UI" w:cs="Segoe UI"/>
                <w:color w:val="212529"/>
              </w:rPr>
              <w:t>ibr-co-15</w:t>
            </w:r>
            <w:r w:rsidR="00734FE2">
              <w:rPr>
                <w:rFonts w:ascii="Segoe UI" w:hAnsi="Segoe UI" w:cs="Segoe UI" w:hint="eastAsia"/>
                <w:color w:val="212529"/>
              </w:rPr>
              <w:t>では</w:t>
            </w:r>
            <w:r w:rsidR="00734FE2" w:rsidRPr="00E931AB">
              <w:rPr>
                <w:rFonts w:ascii="Segoe UI" w:hAnsi="Segoe UI" w:cs="Segoe UI"/>
                <w:color w:val="212529"/>
              </w:rPr>
              <w:t>/ubl:Invoice</w:t>
            </w:r>
            <w:r w:rsidR="00734FE2">
              <w:rPr>
                <w:rFonts w:ascii="Segoe UI" w:hAnsi="Segoe UI" w:cs="Segoe UI"/>
                <w:color w:val="212529"/>
              </w:rPr>
              <w:t>/</w:t>
            </w:r>
            <w:r w:rsidR="00734FE2" w:rsidRPr="00734FE2">
              <w:rPr>
                <w:rFonts w:ascii="Segoe UI" w:hAnsi="Segoe UI" w:cs="Segoe UI"/>
                <w:color w:val="212529"/>
              </w:rPr>
              <w:t>cac:TaxTotal/cbc:TaxAmount</w:t>
            </w:r>
            <w:r w:rsidR="00734FE2">
              <w:rPr>
                <w:rFonts w:ascii="Segoe UI" w:hAnsi="Segoe UI" w:cs="Segoe UI" w:hint="eastAsia"/>
                <w:color w:val="212529"/>
              </w:rPr>
              <w:t>を定義しないとエラーになる。</w:t>
            </w:r>
          </w:p>
        </w:tc>
      </w:tr>
      <w:tr w:rsidR="00A35CE3" w:rsidRPr="00C44168" w14:paraId="35589B92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43C4713B" w14:textId="0E3F8F9F" w:rsidR="00A35CE3" w:rsidRPr="00C44168" w:rsidRDefault="00000000" w:rsidP="00A35CE3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hyperlink r:id="rId10" w:history="1">
              <w:r w:rsidR="00A35CE3">
                <w:rPr>
                  <w:rStyle w:val="Hyperlink"/>
                  <w:rFonts w:ascii="Segoe UI" w:hAnsi="Segoe UI" w:cs="Segoe UI"/>
                  <w:color w:val="007BFF"/>
                </w:rPr>
                <w:t>ibr-co-15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6238BA86" w14:textId="37757DFC" w:rsidR="00A35CE3" w:rsidRPr="00C44168" w:rsidRDefault="00A35CE3" w:rsidP="00A35CE3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[ibr-co-15]-Invoice total amount with Tax (ibt-112) = Invoice total amount without Tax (ibt-109) + Invoice total Tax amount (ibt-110).</w:t>
            </w:r>
          </w:p>
        </w:tc>
      </w:tr>
      <w:tr w:rsidR="00E931AB" w:rsidRPr="00C44168" w14:paraId="691E6B97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4389171E" w14:textId="3C988333" w:rsidR="00E931AB" w:rsidRDefault="00E931AB" w:rsidP="00E931AB">
            <w:pPr>
              <w:widowControl/>
              <w:spacing w:line="240" w:lineRule="auto"/>
              <w:jc w:val="center"/>
              <w:rPr>
                <w:rFonts w:ascii="Segoe UI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Context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7D48B396" w14:textId="145CA1AD" w:rsidR="00E931AB" w:rsidRDefault="00E931AB" w:rsidP="00E931A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E931AB">
              <w:rPr>
                <w:rFonts w:ascii="Segoe UI" w:hAnsi="Segoe UI" w:cs="Segoe UI"/>
                <w:color w:val="212529"/>
              </w:rPr>
              <w:t>/ubl:Invoice | /cn:CreditNote</w:t>
            </w:r>
          </w:p>
        </w:tc>
      </w:tr>
      <w:tr w:rsidR="00E931AB" w:rsidRPr="00C44168" w14:paraId="29DE6843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4F12617D" w14:textId="41EE09FA" w:rsidR="00E931AB" w:rsidRDefault="00E931AB" w:rsidP="00E931AB">
            <w:pPr>
              <w:widowControl/>
              <w:spacing w:line="240" w:lineRule="auto"/>
              <w:jc w:val="center"/>
              <w:rPr>
                <w:rFonts w:ascii="Segoe UI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Test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39CE3F3" w14:textId="77777777" w:rsidR="00E931AB" w:rsidRDefault="00E931AB" w:rsidP="00E931A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E931AB">
              <w:rPr>
                <w:rFonts w:ascii="Segoe UI" w:hAnsi="Segoe UI" w:cs="Segoe UI"/>
                <w:color w:val="212529"/>
              </w:rPr>
              <w:t>(</w:t>
            </w:r>
          </w:p>
          <w:p w14:paraId="70F0D40D" w14:textId="77777777" w:rsidR="00E931AB" w:rsidRDefault="00E931AB" w:rsidP="00E931A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  </w:t>
            </w:r>
            <w:r w:rsidRPr="00E931AB">
              <w:rPr>
                <w:rFonts w:ascii="Segoe UI" w:hAnsi="Segoe UI" w:cs="Segoe UI"/>
                <w:color w:val="212529"/>
              </w:rPr>
              <w:t xml:space="preserve">cac:LegalMonetaryTotal/xs:decimal(cbc:TaxInclusiveAmount) = </w:t>
            </w:r>
          </w:p>
          <w:p w14:paraId="64C717CF" w14:textId="77777777" w:rsidR="00405B66" w:rsidRDefault="00E931AB" w:rsidP="00E931A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  </w:t>
            </w:r>
            <w:r w:rsidRPr="00E931AB">
              <w:rPr>
                <w:rFonts w:ascii="Segoe UI" w:hAnsi="Segoe UI" w:cs="Segoe UI"/>
                <w:color w:val="212529"/>
              </w:rPr>
              <w:t>round(</w:t>
            </w:r>
          </w:p>
          <w:p w14:paraId="6F3FF10C" w14:textId="02D0C3BB" w:rsidR="00E931AB" w:rsidRDefault="00405B66" w:rsidP="00405B66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    </w:t>
            </w:r>
            <w:r w:rsidR="00E931AB" w:rsidRPr="00E931AB">
              <w:rPr>
                <w:rFonts w:ascii="Segoe UI" w:hAnsi="Segoe UI" w:cs="Segoe UI"/>
                <w:color w:val="212529"/>
              </w:rPr>
              <w:t>(</w:t>
            </w:r>
            <w:r>
              <w:rPr>
                <w:rFonts w:ascii="Segoe UI" w:hAnsi="Segoe UI" w:cs="Segoe UI"/>
                <w:color w:val="212529"/>
              </w:rPr>
              <w:t xml:space="preserve"> </w:t>
            </w:r>
            <w:r w:rsidR="00E931AB" w:rsidRPr="00E931AB">
              <w:rPr>
                <w:rFonts w:ascii="Segoe UI" w:hAnsi="Segoe UI" w:cs="Segoe UI"/>
                <w:color w:val="212529"/>
              </w:rPr>
              <w:t>cac:LegalMonetaryTotal/xs:decimal(cbc:TaxExclusiveAmount) +</w:t>
            </w:r>
          </w:p>
          <w:p w14:paraId="1E908F3D" w14:textId="77777777" w:rsidR="00405B66" w:rsidRDefault="00E931AB" w:rsidP="00E931A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E931AB">
              <w:rPr>
                <w:rFonts w:ascii="Segoe UI" w:hAnsi="Segoe UI" w:cs="Segoe UI"/>
                <w:color w:val="212529"/>
              </w:rPr>
              <w:t xml:space="preserve"> </w:t>
            </w:r>
            <w:r>
              <w:rPr>
                <w:rFonts w:ascii="Segoe UI" w:hAnsi="Segoe UI" w:cs="Segoe UI"/>
                <w:color w:val="212529"/>
              </w:rPr>
              <w:t xml:space="preserve">     </w:t>
            </w:r>
            <w:r w:rsidRPr="00E931AB">
              <w:rPr>
                <w:rFonts w:ascii="Segoe UI" w:hAnsi="Segoe UI" w:cs="Segoe UI"/>
                <w:color w:val="212529"/>
              </w:rPr>
              <w:t>cac:TaxTotal/xs:decimal(cbc:TaxAmount</w:t>
            </w:r>
            <w:r>
              <w:rPr>
                <w:rFonts w:ascii="Segoe UI" w:hAnsi="Segoe UI" w:cs="Segoe UI"/>
                <w:color w:val="212529"/>
              </w:rPr>
              <w:t xml:space="preserve"> </w:t>
            </w:r>
            <w:r w:rsidRPr="00E931AB">
              <w:rPr>
                <w:rFonts w:ascii="Segoe UI" w:hAnsi="Segoe UI" w:cs="Segoe UI"/>
                <w:color w:val="212529"/>
              </w:rPr>
              <w:t>[@currencyID=/*/cbc:DocumentCurrencyCode])</w:t>
            </w:r>
          </w:p>
          <w:p w14:paraId="6577B3F8" w14:textId="397B46CE" w:rsidR="00E931AB" w:rsidRDefault="00405B66" w:rsidP="00E931A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    </w:t>
            </w:r>
            <w:r w:rsidR="00E931AB" w:rsidRPr="00E931AB">
              <w:rPr>
                <w:rFonts w:ascii="Segoe UI" w:hAnsi="Segoe UI" w:cs="Segoe UI"/>
                <w:color w:val="212529"/>
              </w:rPr>
              <w:t>) * 10 * 10</w:t>
            </w:r>
          </w:p>
          <w:p w14:paraId="53F921BA" w14:textId="77777777" w:rsidR="00405B66" w:rsidRDefault="00405B66" w:rsidP="00E931A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 xml:space="preserve">  </w:t>
            </w:r>
            <w:r w:rsidR="00E931AB" w:rsidRPr="00E931AB">
              <w:rPr>
                <w:rFonts w:ascii="Segoe UI" w:hAnsi="Segoe UI" w:cs="Segoe UI"/>
                <w:color w:val="212529"/>
              </w:rPr>
              <w:t>) div 100</w:t>
            </w:r>
          </w:p>
          <w:p w14:paraId="0F32C5E4" w14:textId="49581A63" w:rsidR="00E931AB" w:rsidRDefault="00E931AB" w:rsidP="00E931A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E931AB">
              <w:rPr>
                <w:rFonts w:ascii="Segoe UI" w:hAnsi="Segoe UI" w:cs="Segoe UI"/>
                <w:color w:val="212529"/>
              </w:rPr>
              <w:t>)</w:t>
            </w:r>
          </w:p>
        </w:tc>
      </w:tr>
      <w:tr w:rsidR="00E931AB" w:rsidRPr="00C44168" w14:paraId="1DBEE511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5452A12A" w14:textId="64019C7A" w:rsidR="00E931AB" w:rsidRDefault="00E931AB" w:rsidP="00E931AB">
            <w:pPr>
              <w:widowControl/>
              <w:spacing w:line="240" w:lineRule="auto"/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対応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00FDA566" w14:textId="56DB6EB0" w:rsidR="00E931AB" w:rsidRDefault="00734FE2" w:rsidP="00E931A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7C5B14">
              <w:rPr>
                <w:rFonts w:ascii="Segoe UI" w:hAnsi="Segoe UI" w:cs="Segoe UI"/>
                <w:color w:val="212529"/>
              </w:rPr>
              <w:t>/ubl:Invoice/cac:TaxTotal</w:t>
            </w:r>
            <w:r>
              <w:rPr>
                <w:rFonts w:ascii="Segoe UI" w:hAnsi="Segoe UI" w:cs="Segoe UI" w:hint="eastAsia"/>
                <w:color w:val="212529"/>
              </w:rPr>
              <w:t>には固定値</w:t>
            </w:r>
            <w:r>
              <w:rPr>
                <w:rFonts w:ascii="Segoe UI" w:hAnsi="Segoe UI" w:cs="Segoe UI" w:hint="eastAsia"/>
                <w:color w:val="212529"/>
              </w:rPr>
              <w:t xml:space="preserve"> </w:t>
            </w:r>
            <w:r>
              <w:rPr>
                <w:rFonts w:ascii="Segoe UI" w:hAnsi="Segoe UI" w:cs="Segoe UI"/>
                <w:color w:val="212529"/>
              </w:rPr>
              <w:t xml:space="preserve">0 </w:t>
            </w:r>
            <w:r>
              <w:rPr>
                <w:rFonts w:ascii="Segoe UI" w:hAnsi="Segoe UI" w:cs="Segoe UI" w:hint="eastAsia"/>
                <w:color w:val="212529"/>
              </w:rPr>
              <w:t>を定義する。</w:t>
            </w:r>
          </w:p>
        </w:tc>
      </w:tr>
    </w:tbl>
    <w:p w14:paraId="717503F4" w14:textId="098F3B26" w:rsidR="00A35CE3" w:rsidRDefault="00734FE2" w:rsidP="00734FE2">
      <w:pPr>
        <w:pStyle w:val="Heading3"/>
      </w:pPr>
      <w:r>
        <w:rPr>
          <w:rFonts w:hint="eastAsia"/>
        </w:rPr>
        <w:t>Aligned</w:t>
      </w:r>
      <w:r>
        <w:rPr>
          <w:rFonts w:hint="eastAsia"/>
        </w:rPr>
        <w:t>ルール</w:t>
      </w:r>
    </w:p>
    <w:p w14:paraId="56DCD242" w14:textId="2F250799" w:rsidR="00150415" w:rsidRPr="00150415" w:rsidRDefault="00150415" w:rsidP="00B7352B">
      <w:pPr>
        <w:pStyle w:val="ListParagraph"/>
        <w:numPr>
          <w:ilvl w:val="0"/>
          <w:numId w:val="3"/>
        </w:numPr>
      </w:pPr>
      <w:r>
        <w:rPr>
          <w:rFonts w:hint="eastAsia"/>
        </w:rPr>
        <w:t>次のルールが関連する。それぞれのルールについての対応策を示す。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"/>
        <w:gridCol w:w="1894"/>
        <w:gridCol w:w="7643"/>
      </w:tblGrid>
      <w:tr w:rsidR="00155B0B" w:rsidRPr="00C44168" w14:paraId="078074DA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587D7A71" w14:textId="35A14F3A" w:rsidR="00155B0B" w:rsidRPr="00A35CE3" w:rsidRDefault="00000000" w:rsidP="009E2235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hyperlink r:id="rId11" w:history="1">
              <w:r w:rsidR="00155B0B">
                <w:rPr>
                  <w:rStyle w:val="Hyperlink"/>
                  <w:rFonts w:ascii="Segoe UI" w:hAnsi="Segoe UI" w:cs="Segoe UI"/>
                  <w:color w:val="0056B3"/>
                </w:rPr>
                <w:t>aligned-ibrp-001-jp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60CF3065" w14:textId="08692184" w:rsidR="00155B0B" w:rsidRDefault="00155B0B" w:rsidP="00155B0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[aligned-ibrp-001-jp]-Specification identifier MUST start with the value 'urn:fdc:peppol:jp:billing:3.0'.</w:t>
            </w:r>
          </w:p>
        </w:tc>
      </w:tr>
      <w:tr w:rsidR="00155B0B" w:rsidRPr="00C44168" w14:paraId="63760FF8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7D8590AF" w14:textId="5AD49D85" w:rsidR="00155B0B" w:rsidRPr="00A35CE3" w:rsidRDefault="00155B0B" w:rsidP="00FC2188">
            <w:pPr>
              <w:widowControl/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対応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080C85CF" w14:textId="0B25CD5F" w:rsidR="00155B0B" w:rsidRDefault="00155B0B" w:rsidP="00FC2188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区分記載請求書に対応した値に変更する。</w:t>
            </w:r>
          </w:p>
        </w:tc>
      </w:tr>
      <w:tr w:rsidR="00155B0B" w:rsidRPr="00C44168" w14:paraId="12A860C4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660F80B9" w14:textId="44377655" w:rsidR="00155B0B" w:rsidRPr="00A35CE3" w:rsidRDefault="00000000" w:rsidP="009E2235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hyperlink r:id="rId12" w:history="1">
              <w:r w:rsidR="00155B0B">
                <w:rPr>
                  <w:rStyle w:val="Hyperlink"/>
                  <w:rFonts w:ascii="Segoe UI" w:hAnsi="Segoe UI" w:cs="Segoe UI"/>
                  <w:color w:val="007BFF"/>
                </w:rPr>
                <w:t>aligned-ibrp-002-jp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7BCA1584" w14:textId="1EC36942" w:rsidR="00155B0B" w:rsidRDefault="00155B0B" w:rsidP="00155B0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[aligned-ibrp-002-jp]-Business process MUST be in the format 'urn:fdc:peppol.eu:2017:poacc:billing:01:1.0'.</w:t>
            </w:r>
          </w:p>
        </w:tc>
      </w:tr>
      <w:tr w:rsidR="00155B0B" w:rsidRPr="00C44168" w14:paraId="44CFFEC2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340F573B" w14:textId="29ABE503" w:rsidR="00155B0B" w:rsidRPr="00A35CE3" w:rsidRDefault="00155B0B" w:rsidP="00155B0B">
            <w:pPr>
              <w:widowControl/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対応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4B9240E2" w14:textId="5AC1CA12" w:rsidR="00155B0B" w:rsidRDefault="00155B0B" w:rsidP="00155B0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区分記載請求書に対応した値に変更する。</w:t>
            </w:r>
          </w:p>
        </w:tc>
      </w:tr>
      <w:tr w:rsidR="00155B0B" w:rsidRPr="00C44168" w14:paraId="403AD180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259523B" w14:textId="148E266C" w:rsidR="00155B0B" w:rsidRPr="00A35CE3" w:rsidRDefault="00000000" w:rsidP="00155B0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hyperlink r:id="rId13" w:history="1">
              <w:r w:rsidR="00155B0B">
                <w:rPr>
                  <w:rStyle w:val="Hyperlink"/>
                  <w:rFonts w:ascii="Segoe UI" w:hAnsi="Segoe UI" w:cs="Segoe UI"/>
                  <w:color w:val="007BFF"/>
                </w:rPr>
                <w:t>aligned-ibr-jp-01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57B47008" w14:textId="3B41E7E8" w:rsidR="00155B0B" w:rsidRDefault="00155B0B" w:rsidP="00155B0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[aligned-ibr-jp-01]-If a date of an invoice period (ibg-14) or an invoice line period (ibg-26) is on and after October 1st, 2023, Seller Tax Identifier shall be coded by using a Registration Number for Qualified Invoice purpose in Japan, which consists of 14 digits that start with T.</w:t>
            </w:r>
          </w:p>
        </w:tc>
      </w:tr>
      <w:tr w:rsidR="00155B0B" w:rsidRPr="00C44168" w14:paraId="11C7EB80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B83F93D" w14:textId="3DAECA03" w:rsidR="00155B0B" w:rsidRPr="00A35CE3" w:rsidRDefault="00155B0B" w:rsidP="00155B0B">
            <w:pPr>
              <w:widowControl/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対応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00FD558E" w14:textId="7024E77F" w:rsidR="00155B0B" w:rsidRDefault="00CC58F3" w:rsidP="00155B0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登録番号を持たないため</w:t>
            </w:r>
            <w:r w:rsidR="00155B0B">
              <w:rPr>
                <w:rFonts w:ascii="ＭＳ 明朝" w:eastAsia="ＭＳ 明朝" w:hAnsi="ＭＳ 明朝" w:cs="ＭＳ 明朝" w:hint="eastAsia"/>
                <w:color w:val="212529"/>
              </w:rPr>
              <w:t>廃止する</w:t>
            </w:r>
            <w:r w:rsidR="007850A9">
              <w:rPr>
                <w:rFonts w:ascii="ＭＳ 明朝" w:eastAsia="ＭＳ 明朝" w:hAnsi="ＭＳ 明朝" w:cs="ＭＳ 明朝" w:hint="eastAsia"/>
                <w:color w:val="212529"/>
              </w:rPr>
              <w:t>。</w:t>
            </w:r>
          </w:p>
        </w:tc>
      </w:tr>
      <w:tr w:rsidR="00E85078" w:rsidRPr="00C44168" w14:paraId="216E56D7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193AE04" w14:textId="5FCD824A" w:rsidR="00E85078" w:rsidRDefault="00000000" w:rsidP="009E2235">
            <w:pPr>
              <w:widowControl/>
              <w:spacing w:line="240" w:lineRule="auto"/>
              <w:jc w:val="left"/>
              <w:rPr>
                <w:rFonts w:ascii="ＭＳ 明朝" w:eastAsia="ＭＳ 明朝" w:hAnsi="ＭＳ 明朝" w:cs="ＭＳ 明朝"/>
                <w:color w:val="212529"/>
              </w:rPr>
            </w:pPr>
            <w:hyperlink r:id="rId14" w:history="1">
              <w:r w:rsidR="00E85078">
                <w:rPr>
                  <w:rStyle w:val="Hyperlink"/>
                  <w:rFonts w:ascii="Segoe UI" w:hAnsi="Segoe UI" w:cs="Segoe UI"/>
                  <w:color w:val="0056B3"/>
                </w:rPr>
                <w:t>aligned-ibr-jp-05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39879510" w14:textId="6A0C374F" w:rsidR="00E85078" w:rsidRDefault="00E85078" w:rsidP="00E85078">
            <w:pPr>
              <w:widowControl/>
              <w:spacing w:line="240" w:lineRule="auto"/>
              <w:jc w:val="left"/>
              <w:rPr>
                <w:rFonts w:ascii="ＭＳ 明朝" w:eastAsia="ＭＳ 明朝" w:hAnsi="ＭＳ 明朝" w:cs="ＭＳ 明朝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[aligned-ibr-jp-05]-If Tax accounting currency (ibt-006) is present, it shall be coded using JPY in ISO code list of 4217 a-3.</w:t>
            </w:r>
          </w:p>
        </w:tc>
      </w:tr>
      <w:tr w:rsidR="00921FFD" w:rsidRPr="00C44168" w14:paraId="36BC96D4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79CCDB1A" w14:textId="495C9C61" w:rsidR="00921FFD" w:rsidRDefault="00921FFD" w:rsidP="00E85078">
            <w:pPr>
              <w:widowControl/>
              <w:spacing w:line="240" w:lineRule="auto"/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 w:hint="eastAsia"/>
                <w:color w:val="212529"/>
              </w:rPr>
              <w:t>対応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42FE7433" w14:textId="010AB5B8" w:rsidR="00921FFD" w:rsidRDefault="00921FFD" w:rsidP="00E85078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Tax accounting currency (ibt-006)</w:t>
            </w:r>
            <w:r w:rsidR="00BC7E3E">
              <w:rPr>
                <w:rFonts w:ascii="Segoe UI" w:hAnsi="Segoe UI" w:cs="Segoe UI" w:hint="eastAsia"/>
                <w:color w:val="212529"/>
              </w:rPr>
              <w:t>を使用しないことというルールを新設する。</w:t>
            </w:r>
          </w:p>
        </w:tc>
      </w:tr>
      <w:tr w:rsidR="00BC7E3E" w:rsidRPr="00C44168" w14:paraId="066F8C4E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1B4D1BC0" w14:textId="77777777" w:rsidR="00BC7E3E" w:rsidRDefault="00BC7E3E" w:rsidP="00BC7E3E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 w:rsidRPr="00A9591C">
              <w:rPr>
                <w:rFonts w:ascii="Segoe UI" w:eastAsia="Times New Roman" w:hAnsi="Segoe UI" w:cs="Segoe UI"/>
                <w:color w:val="212529"/>
              </w:rPr>
              <w:t>aligned-ibr-jp-x1</w:t>
            </w:r>
          </w:p>
          <w:p w14:paraId="21062949" w14:textId="782E44B3" w:rsidR="00BC7E3E" w:rsidRDefault="00BC7E3E" w:rsidP="00BC7E3E">
            <w:pPr>
              <w:widowControl/>
              <w:spacing w:line="240" w:lineRule="auto"/>
              <w:jc w:val="center"/>
              <w:rPr>
                <w:rFonts w:ascii="ＭＳ 明朝" w:eastAsia="ＭＳ 明朝" w:hAnsi="ＭＳ 明朝" w:cs="ＭＳ 明朝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（新設）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046A8B52" w14:textId="4D71E342" w:rsidR="00BC7E3E" w:rsidRDefault="00BC7E3E" w:rsidP="00BC7E3E">
            <w:pPr>
              <w:widowControl/>
              <w:spacing w:line="240" w:lineRule="auto"/>
              <w:jc w:val="left"/>
              <w:rPr>
                <w:rFonts w:ascii="ＭＳ 明朝" w:eastAsia="ＭＳ 明朝" w:hAnsi="ＭＳ 明朝" w:cs="ＭＳ 明朝"/>
                <w:color w:val="212529"/>
              </w:rPr>
            </w:pPr>
            <w:r w:rsidRPr="00A9591C">
              <w:rPr>
                <w:rFonts w:ascii="Segoe UI" w:eastAsia="Times New Roman" w:hAnsi="Segoe UI" w:cs="Segoe UI"/>
                <w:color w:val="212529"/>
              </w:rPr>
              <w:t xml:space="preserve">[aligned-ibr-jp-x1]-An Invoice shall NOT have the </w:t>
            </w:r>
            <w:r w:rsidR="00955367">
              <w:rPr>
                <w:rFonts w:ascii="Segoe UI" w:hAnsi="Segoe UI" w:cs="Segoe UI"/>
                <w:color w:val="212529"/>
              </w:rPr>
              <w:t>Tax accounting currency (ibt-006)</w:t>
            </w:r>
            <w:r w:rsidRPr="00A9591C">
              <w:rPr>
                <w:rFonts w:ascii="Segoe UI" w:eastAsia="Times New Roman" w:hAnsi="Segoe UI" w:cs="Segoe UI"/>
                <w:color w:val="212529"/>
              </w:rPr>
              <w:t>.</w:t>
            </w:r>
          </w:p>
        </w:tc>
      </w:tr>
      <w:tr w:rsidR="00BC7E3E" w:rsidRPr="00C44168" w14:paraId="0D06A7B0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4CF8F613" w14:textId="23D6A3A1" w:rsidR="00BC7E3E" w:rsidRDefault="00BC7E3E" w:rsidP="00BC7E3E">
            <w:pPr>
              <w:widowControl/>
              <w:spacing w:line="240" w:lineRule="auto"/>
              <w:jc w:val="center"/>
              <w:rPr>
                <w:rFonts w:ascii="ＭＳ 明朝" w:eastAsia="ＭＳ 明朝" w:hAnsi="ＭＳ 明朝" w:cs="ＭＳ 明朝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Context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06051BC2" w14:textId="7C501B12" w:rsidR="00BC7E3E" w:rsidRDefault="00BC7E3E" w:rsidP="00BC7E3E">
            <w:pPr>
              <w:widowControl/>
              <w:spacing w:line="240" w:lineRule="auto"/>
              <w:jc w:val="left"/>
              <w:rPr>
                <w:rFonts w:ascii="ＭＳ 明朝" w:eastAsia="ＭＳ 明朝" w:hAnsi="ＭＳ 明朝" w:cs="ＭＳ 明朝"/>
                <w:color w:val="212529"/>
              </w:rPr>
            </w:pPr>
            <w:r w:rsidRPr="00EA0AE2">
              <w:rPr>
                <w:rFonts w:ascii="Segoe UI" w:eastAsia="Times New Roman" w:hAnsi="Segoe UI" w:cs="Segoe UI"/>
                <w:color w:val="212529"/>
              </w:rPr>
              <w:t>/ubl:Invoice | /cn:CreditNote</w:t>
            </w:r>
          </w:p>
        </w:tc>
      </w:tr>
      <w:tr w:rsidR="00E85078" w:rsidRPr="00C44168" w14:paraId="294F170F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535BC5FB" w14:textId="77777777" w:rsidR="00E85078" w:rsidRDefault="00E85078" w:rsidP="00155B0B">
            <w:pPr>
              <w:widowControl/>
              <w:spacing w:line="240" w:lineRule="auto"/>
              <w:jc w:val="center"/>
              <w:rPr>
                <w:rFonts w:ascii="ＭＳ 明朝" w:eastAsia="ＭＳ 明朝" w:hAnsi="ＭＳ 明朝" w:cs="ＭＳ 明朝"/>
                <w:color w:val="212529"/>
              </w:rPr>
            </w:pP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02C70D1F" w14:textId="76F49D3E" w:rsidR="00E85078" w:rsidRDefault="008268B7" w:rsidP="00155B0B">
            <w:pPr>
              <w:widowControl/>
              <w:spacing w:line="240" w:lineRule="auto"/>
              <w:jc w:val="left"/>
              <w:rPr>
                <w:rFonts w:ascii="ＭＳ 明朝" w:eastAsia="ＭＳ 明朝" w:hAnsi="ＭＳ 明朝" w:cs="ＭＳ 明朝"/>
                <w:color w:val="212529"/>
              </w:rPr>
            </w:pPr>
            <w:r w:rsidRPr="008268B7">
              <w:rPr>
                <w:rFonts w:ascii="Segoe UI" w:eastAsia="Times New Roman" w:hAnsi="Segoe UI" w:cs="Segoe UI"/>
                <w:color w:val="212529"/>
              </w:rPr>
              <w:t>not(cbc:TaxCurrencyCode)</w:t>
            </w:r>
          </w:p>
        </w:tc>
      </w:tr>
      <w:tr w:rsidR="00155B0B" w:rsidRPr="00C44168" w14:paraId="3A13CAD6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3A900E4" w14:textId="7E6A58E7" w:rsidR="00155B0B" w:rsidRPr="00C44168" w:rsidRDefault="00000000" w:rsidP="00155B0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hyperlink r:id="rId15" w:history="1">
              <w:r w:rsidR="00155B0B">
                <w:rPr>
                  <w:rStyle w:val="Hyperlink"/>
                  <w:rFonts w:ascii="Segoe UI" w:hAnsi="Segoe UI" w:cs="Segoe UI"/>
                  <w:color w:val="0056B3"/>
                </w:rPr>
                <w:t>aligned-ibr-jp-04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59401BF" w14:textId="50E187BC" w:rsidR="00155B0B" w:rsidRPr="00C44168" w:rsidRDefault="00155B0B" w:rsidP="00155B0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[aligned-ibr-jp-04]-An Invoice shall have the Seller tax identifier (ibt-031).</w:t>
            </w:r>
          </w:p>
        </w:tc>
      </w:tr>
      <w:tr w:rsidR="00AF049C" w14:paraId="2ECA4CF6" w14:textId="77777777" w:rsidTr="007402B5">
        <w:trPr>
          <w:gridBefore w:val="1"/>
          <w:wBefore w:w="9" w:type="pct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A38815" w14:textId="77777777" w:rsidR="00AF049C" w:rsidRDefault="00000000">
            <w:pPr>
              <w:widowControl/>
              <w:jc w:val="left"/>
              <w:rPr>
                <w:rFonts w:ascii="Segoe UI" w:hAnsi="Segoe UI" w:cs="Segoe UI"/>
                <w:color w:val="212529"/>
              </w:rPr>
            </w:pPr>
            <w:hyperlink r:id="rId16" w:history="1">
              <w:r w:rsidR="00AF049C">
                <w:rPr>
                  <w:rStyle w:val="Hyperlink"/>
                  <w:rFonts w:ascii="Segoe UI" w:hAnsi="Segoe UI" w:cs="Segoe UI"/>
                  <w:color w:val="007BFF"/>
                </w:rPr>
                <w:t>aligned-ibrp-009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A85B7B" w14:textId="77777777" w:rsidR="00AF049C" w:rsidRDefault="00AF049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[aligned-ibrp-009]-Seller tax identifier (ibt-031) MUST occur maximum once.</w:t>
            </w:r>
          </w:p>
        </w:tc>
      </w:tr>
      <w:tr w:rsidR="00B43CC0" w14:paraId="204A54E0" w14:textId="77777777" w:rsidTr="007402B5">
        <w:trPr>
          <w:gridBefore w:val="1"/>
          <w:wBefore w:w="9" w:type="pct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198042" w14:textId="77777777" w:rsidR="00B43CC0" w:rsidRDefault="00000000" w:rsidP="00114B07">
            <w:pPr>
              <w:widowControl/>
              <w:jc w:val="left"/>
              <w:rPr>
                <w:rFonts w:ascii="Segoe UI" w:hAnsi="Segoe UI" w:cs="Segoe UI"/>
                <w:color w:val="212529"/>
              </w:rPr>
            </w:pPr>
            <w:hyperlink r:id="rId17" w:history="1">
              <w:r w:rsidR="00B43CC0">
                <w:rPr>
                  <w:rStyle w:val="Hyperlink"/>
                  <w:rFonts w:ascii="Segoe UI" w:hAnsi="Segoe UI" w:cs="Segoe UI"/>
                  <w:color w:val="0056B3"/>
                </w:rPr>
                <w:t>aligned-ibrp-sr-12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5A3906" w14:textId="77777777" w:rsidR="00B43CC0" w:rsidRDefault="00B43CC0" w:rsidP="00114B0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[aligned-ibrp-sr-12]-Seller VAT identifier (ibt-031) MUST occur maximum once</w:t>
            </w:r>
          </w:p>
        </w:tc>
      </w:tr>
      <w:tr w:rsidR="00155B0B" w:rsidRPr="00C44168" w14:paraId="4C6C1BE9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4595467" w14:textId="341BA962" w:rsidR="00155B0B" w:rsidRPr="00C44168" w:rsidRDefault="00155B0B" w:rsidP="00155B0B">
            <w:pPr>
              <w:widowControl/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対応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618DA17C" w14:textId="117900CB" w:rsidR="00CC58F3" w:rsidRDefault="00150415" w:rsidP="00155B0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 w:hint="eastAsia"/>
                <w:color w:val="212529"/>
              </w:rPr>
              <w:t>次の</w:t>
            </w:r>
            <w:r>
              <w:rPr>
                <w:rFonts w:ascii="Segoe UI" w:hAnsi="Segoe UI" w:cs="Segoe UI" w:hint="eastAsia"/>
                <w:color w:val="212529"/>
              </w:rPr>
              <w:t>a</w:t>
            </w:r>
            <w:r>
              <w:rPr>
                <w:rFonts w:ascii="Segoe UI" w:hAnsi="Segoe UI" w:cs="Segoe UI"/>
                <w:color w:val="212529"/>
              </w:rPr>
              <w:t>ligned-ibrp-sr-13</w:t>
            </w:r>
            <w:r w:rsidR="00CC58F3">
              <w:rPr>
                <w:rFonts w:ascii="Segoe UI" w:hAnsi="Segoe UI" w:cs="Segoe UI" w:hint="eastAsia"/>
                <w:color w:val="212529"/>
              </w:rPr>
              <w:t>とともに廃止する。</w:t>
            </w:r>
          </w:p>
          <w:p w14:paraId="6A20310D" w14:textId="49992BFD" w:rsidR="00CC58F3" w:rsidRDefault="00CC58F3" w:rsidP="00155B0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 w:hint="eastAsia"/>
                <w:color w:val="212529"/>
              </w:rPr>
              <w:t>これらの識別子が定義されていないことを要請する次のルールを新設する。</w:t>
            </w:r>
          </w:p>
          <w:p w14:paraId="1207B309" w14:textId="725A99E3" w:rsidR="00155B0B" w:rsidRPr="00C44168" w:rsidRDefault="00155B0B" w:rsidP="00155B0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[aligned-ibr-jp-x</w:t>
            </w:r>
            <w:r w:rsidR="00A13835">
              <w:rPr>
                <w:rFonts w:ascii="Segoe UI" w:hAnsi="Segoe UI" w:cs="Segoe UI"/>
                <w:color w:val="212529"/>
              </w:rPr>
              <w:t>1</w:t>
            </w:r>
            <w:r>
              <w:rPr>
                <w:rFonts w:ascii="Segoe UI" w:hAnsi="Segoe UI" w:cs="Segoe UI"/>
                <w:color w:val="212529"/>
              </w:rPr>
              <w:t>]-An Invoice shall NOT have the Seller tax identifier (ibt-031) nor have the Seller tax registration (ibt-032).</w:t>
            </w:r>
          </w:p>
        </w:tc>
      </w:tr>
      <w:tr w:rsidR="00A9591C" w:rsidRPr="00C44168" w14:paraId="53EF4A03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6E3AD355" w14:textId="6609CE28" w:rsidR="00A9591C" w:rsidRDefault="00A9591C" w:rsidP="00A9591C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 w:rsidRPr="00A9591C">
              <w:rPr>
                <w:rFonts w:ascii="Segoe UI" w:eastAsia="Times New Roman" w:hAnsi="Segoe UI" w:cs="Segoe UI"/>
                <w:color w:val="212529"/>
              </w:rPr>
              <w:t>aligned-ibr-jp-x</w:t>
            </w:r>
            <w:r w:rsidR="006E7D88">
              <w:rPr>
                <w:rFonts w:ascii="Segoe UI" w:eastAsia="Times New Roman" w:hAnsi="Segoe UI" w:cs="Segoe UI"/>
                <w:color w:val="212529"/>
              </w:rPr>
              <w:t>2</w:t>
            </w:r>
          </w:p>
          <w:p w14:paraId="2928B83C" w14:textId="12CDBFAD" w:rsidR="00BE4AD6" w:rsidRPr="00A35CE3" w:rsidRDefault="00BE4AD6" w:rsidP="00A9591C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（新設）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1A308F1F" w14:textId="4EE26999" w:rsidR="00A9591C" w:rsidRPr="00EA0AE2" w:rsidRDefault="00A9591C" w:rsidP="00A9591C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 w:rsidRPr="00A9591C">
              <w:rPr>
                <w:rFonts w:ascii="Segoe UI" w:eastAsia="Times New Roman" w:hAnsi="Segoe UI" w:cs="Segoe UI"/>
                <w:color w:val="212529"/>
              </w:rPr>
              <w:t>[aligned-ibr-jp-x</w:t>
            </w:r>
            <w:r w:rsidR="006E7D88">
              <w:rPr>
                <w:rFonts w:ascii="Segoe UI" w:eastAsia="Times New Roman" w:hAnsi="Segoe UI" w:cs="Segoe UI"/>
                <w:color w:val="212529"/>
              </w:rPr>
              <w:t>2</w:t>
            </w:r>
            <w:r w:rsidRPr="00A9591C">
              <w:rPr>
                <w:rFonts w:ascii="Segoe UI" w:eastAsia="Times New Roman" w:hAnsi="Segoe UI" w:cs="Segoe UI"/>
                <w:color w:val="212529"/>
              </w:rPr>
              <w:t>]-An Invoice shall NOT have the Seller tax identifier (ibt-031) nor the Seller tax registration (ibt-032).</w:t>
            </w:r>
          </w:p>
        </w:tc>
      </w:tr>
      <w:tr w:rsidR="00155B0B" w:rsidRPr="00C44168" w14:paraId="65A1FC6E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6A77A9F6" w14:textId="1BBEF155" w:rsidR="00155B0B" w:rsidRPr="00C44168" w:rsidRDefault="00155B0B" w:rsidP="00155B0B">
            <w:pPr>
              <w:widowControl/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Context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0BC026ED" w14:textId="0471D242" w:rsidR="00155B0B" w:rsidRPr="00C44168" w:rsidRDefault="00155B0B" w:rsidP="00155B0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 w:rsidRPr="00EA0AE2">
              <w:rPr>
                <w:rFonts w:ascii="Segoe UI" w:eastAsia="Times New Roman" w:hAnsi="Segoe UI" w:cs="Segoe UI"/>
                <w:color w:val="212529"/>
              </w:rPr>
              <w:t>/ubl:Invoice | /cn:CreditNote</w:t>
            </w:r>
          </w:p>
        </w:tc>
      </w:tr>
      <w:tr w:rsidR="00155B0B" w:rsidRPr="00C44168" w14:paraId="507CF6BC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125DF9DB" w14:textId="073D1449" w:rsidR="00155B0B" w:rsidRPr="00C44168" w:rsidRDefault="00155B0B" w:rsidP="00155B0B">
            <w:pPr>
              <w:widowControl/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Test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3FA12CEC" w14:textId="18C9B5EE" w:rsidR="00155B0B" w:rsidRPr="00EA0AE2" w:rsidRDefault="00155B0B" w:rsidP="00155B0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not</w:t>
            </w:r>
            <w:r w:rsidRPr="00EA0AE2">
              <w:rPr>
                <w:rFonts w:ascii="Segoe UI" w:eastAsia="Times New Roman" w:hAnsi="Segoe UI" w:cs="Segoe UI"/>
                <w:color w:val="212529"/>
              </w:rPr>
              <w:t>(</w:t>
            </w:r>
          </w:p>
          <w:p w14:paraId="722DB127" w14:textId="77777777" w:rsidR="00155B0B" w:rsidRDefault="00155B0B" w:rsidP="00155B0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 w:rsidRPr="00EA0AE2">
              <w:rPr>
                <w:rFonts w:ascii="Segoe UI" w:eastAsia="Times New Roman" w:hAnsi="Segoe UI" w:cs="Segoe UI"/>
                <w:color w:val="212529"/>
              </w:rPr>
              <w:t xml:space="preserve">    cac:AccountingSupplierParty/cac:Party/cac:PartyTaxScheme</w:t>
            </w:r>
          </w:p>
          <w:p w14:paraId="3A46FDA2" w14:textId="15E7A18F" w:rsidR="00155B0B" w:rsidRPr="00C44168" w:rsidRDefault="00155B0B" w:rsidP="00155B0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 w:rsidRPr="00EA0AE2">
              <w:rPr>
                <w:rFonts w:ascii="Segoe UI" w:eastAsia="Times New Roman" w:hAnsi="Segoe UI" w:cs="Segoe UI"/>
                <w:color w:val="212529"/>
              </w:rPr>
              <w:t>)</w:t>
            </w:r>
          </w:p>
        </w:tc>
      </w:tr>
      <w:tr w:rsidR="00155B0B" w:rsidRPr="00C44168" w14:paraId="144196B2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43EB3C42" w14:textId="0E6E053A" w:rsidR="00155B0B" w:rsidRPr="00C44168" w:rsidRDefault="00000000" w:rsidP="00155B0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hyperlink r:id="rId18" w:history="1">
              <w:r w:rsidR="00155B0B">
                <w:rPr>
                  <w:rStyle w:val="Hyperlink"/>
                  <w:rFonts w:ascii="Segoe UI" w:hAnsi="Segoe UI" w:cs="Segoe UI"/>
                  <w:color w:val="007BFF"/>
                </w:rPr>
                <w:t>aligned-ibrp-sr-13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327381A6" w14:textId="2DCB3805" w:rsidR="00155B0B" w:rsidRPr="00C44168" w:rsidRDefault="00155B0B" w:rsidP="00155B0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[aligned-ibrp-sr-13]-Seller tax registration (ibt-032) MUST occur maximum once</w:t>
            </w:r>
          </w:p>
        </w:tc>
      </w:tr>
      <w:tr w:rsidR="00185760" w:rsidRPr="00C44168" w14:paraId="6EDE64AC" w14:textId="77777777" w:rsidTr="007402B5">
        <w:tc>
          <w:tcPr>
            <w:tcW w:w="1000" w:type="pct"/>
            <w:gridSpan w:val="2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57F89F3B" w14:textId="77777777" w:rsidR="00185760" w:rsidRPr="00C44168" w:rsidRDefault="00185760" w:rsidP="00DC3884">
            <w:pPr>
              <w:widowControl/>
              <w:spacing w:line="240" w:lineRule="auto"/>
              <w:jc w:val="center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対応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78018F2B" w14:textId="77777777" w:rsidR="00185760" w:rsidRPr="00C44168" w:rsidRDefault="00185760" w:rsidP="00DC3884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ＭＳ 明朝" w:eastAsia="ＭＳ 明朝" w:hAnsi="ＭＳ 明朝" w:cs="ＭＳ 明朝" w:hint="eastAsia"/>
                <w:color w:val="212529"/>
              </w:rPr>
              <w:t>廃止する</w:t>
            </w:r>
          </w:p>
        </w:tc>
      </w:tr>
    </w:tbl>
    <w:p w14:paraId="64C904A8" w14:textId="551F62F9" w:rsidR="00185760" w:rsidRDefault="002F6E24" w:rsidP="00B7352B">
      <w:pPr>
        <w:pStyle w:val="ListParagraph"/>
        <w:numPr>
          <w:ilvl w:val="0"/>
          <w:numId w:val="3"/>
        </w:numPr>
      </w:pPr>
      <w:r w:rsidRPr="0081624C">
        <w:t>TAX BREAKDOWN</w:t>
      </w:r>
      <w:r w:rsidR="00875AAA" w:rsidRPr="00B7352B">
        <w:rPr>
          <w:rFonts w:hint="eastAsia"/>
        </w:rPr>
        <w:t>を定義しないので、次のルールを廃止</w:t>
      </w:r>
      <w:r w:rsidR="003D60C9" w:rsidRPr="00B7352B">
        <w:rPr>
          <w:rFonts w:hint="eastAsia"/>
        </w:rPr>
        <w:t>する。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7643"/>
      </w:tblGrid>
      <w:tr w:rsidR="009B20BA" w:rsidRPr="00C44168" w14:paraId="3A6D8626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4F0AFFC6" w14:textId="7F409FE1" w:rsidR="009B20BA" w:rsidRDefault="00000000" w:rsidP="009B20BA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hyperlink r:id="rId19" w:history="1">
              <w:r w:rsidR="009B20BA">
                <w:rPr>
                  <w:rStyle w:val="Hyperlink"/>
                  <w:rFonts w:ascii="Segoe UI" w:hAnsi="Segoe UI" w:cs="Segoe UI"/>
                  <w:color w:val="007BFF"/>
                </w:rPr>
                <w:t>aligned-ibrp-045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7403374D" w14:textId="6D427279" w:rsidR="009B20BA" w:rsidRDefault="009B20BA" w:rsidP="009B20BA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[aligned-ibrp-045]-Each tax breakdown (ibg-23) MUST have a tax category taxable amount (ibt-116).</w:t>
            </w:r>
          </w:p>
        </w:tc>
      </w:tr>
      <w:tr w:rsidR="005F61F5" w:rsidRPr="00C44168" w14:paraId="71A010D2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0675252B" w14:textId="599E1148" w:rsidR="005F61F5" w:rsidRDefault="00000000" w:rsidP="005F61F5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hyperlink r:id="rId20" w:history="1">
              <w:r w:rsidR="00421754">
                <w:rPr>
                  <w:rStyle w:val="Hyperlink"/>
                  <w:rFonts w:ascii="Segoe UI" w:hAnsi="Segoe UI" w:cs="Segoe UI"/>
                  <w:color w:val="0056B3"/>
                </w:rPr>
                <w:t>aligned-ibrp-051-jp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571F94E6" w14:textId="38E57092" w:rsidR="005F61F5" w:rsidRDefault="005F61F5" w:rsidP="005F61F5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145B28">
              <w:t>[aligned-ibrp-051-jp]-Tax category tax amount (ibt-117) = tax category taxable amount (ibt-116) x (tax category rate (ibt-119) / 100), rounded to integer. The rounded result amount shall be between the floor and the ceiling.</w:t>
            </w:r>
          </w:p>
        </w:tc>
      </w:tr>
      <w:tr w:rsidR="009B20BA" w:rsidRPr="00C44168" w14:paraId="1553101E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16C03F57" w14:textId="292E6FFD" w:rsidR="009B20BA" w:rsidRDefault="00000000" w:rsidP="009B20BA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hyperlink r:id="rId21" w:history="1">
              <w:r w:rsidR="009B20BA">
                <w:rPr>
                  <w:rStyle w:val="Hyperlink"/>
                  <w:rFonts w:ascii="Segoe UI" w:hAnsi="Segoe UI" w:cs="Segoe UI"/>
                  <w:color w:val="007BFF"/>
                </w:rPr>
                <w:t>aligned-ibrp-046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684AB6C8" w14:textId="758B0344" w:rsidR="009B20BA" w:rsidRDefault="009B20BA" w:rsidP="009B20BA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[aligned-ibrp-046]-Each tax breakdown (ibg-23) MUST have a tax category tax amount (ibt-117).</w:t>
            </w:r>
          </w:p>
        </w:tc>
      </w:tr>
      <w:tr w:rsidR="003B4B03" w:rsidRPr="00C44168" w14:paraId="29285BA6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E9E133C" w14:textId="7109370B" w:rsidR="003B4B03" w:rsidRDefault="00000000" w:rsidP="003B4B0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hyperlink r:id="rId22" w:history="1">
              <w:r w:rsidR="003B4B03">
                <w:rPr>
                  <w:rStyle w:val="Hyperlink"/>
                  <w:rFonts w:ascii="Segoe UI" w:hAnsi="Segoe UI" w:cs="Segoe UI"/>
                  <w:color w:val="007BFF"/>
                </w:rPr>
                <w:t>aligned-ibrp-047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0154B174" w14:textId="09919E34" w:rsidR="003B4B03" w:rsidRDefault="003B4B03" w:rsidP="003B4B0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[aligned-ibrp-047]-Each tax breakdown (ibg-23) MUST be defined through a tax category code (ibt-118).</w:t>
            </w:r>
          </w:p>
        </w:tc>
      </w:tr>
      <w:tr w:rsidR="003B4B03" w:rsidRPr="00C44168" w14:paraId="303CB1FB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0C50C51A" w14:textId="326EF873" w:rsidR="003B4B03" w:rsidRDefault="00000000" w:rsidP="003B4B0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hyperlink r:id="rId23" w:history="1">
              <w:r w:rsidR="003B4B03">
                <w:rPr>
                  <w:rStyle w:val="Hyperlink"/>
                  <w:rFonts w:ascii="Segoe UI" w:hAnsi="Segoe UI" w:cs="Segoe UI"/>
                  <w:color w:val="007BFF"/>
                </w:rPr>
                <w:t>aligned-ibrp-048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11A6349A" w14:textId="663E1929" w:rsidR="003B4B03" w:rsidRDefault="003B4B03" w:rsidP="003B4B0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[aligned-ibrp-048]-Each tax breakdown (ibg-23) MUST have a tax category rate (ibt-119), except if the Invoice is not subject to tax.</w:t>
            </w:r>
          </w:p>
        </w:tc>
      </w:tr>
      <w:tr w:rsidR="00755F0B" w:rsidRPr="00C44168" w14:paraId="7CDF1643" w14:textId="77777777" w:rsidTr="00C44168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32BBED38" w14:textId="6C3F7143" w:rsidR="00755F0B" w:rsidRDefault="00000000" w:rsidP="00755F0B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hyperlink r:id="rId24" w:history="1">
              <w:r w:rsidR="00755F0B">
                <w:rPr>
                  <w:rStyle w:val="Hyperlink"/>
                  <w:rFonts w:ascii="Segoe UI" w:hAnsi="Segoe UI" w:cs="Segoe UI"/>
                  <w:color w:val="0056B3"/>
                </w:rPr>
                <w:t>aligned-ibr-jp-06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6E88457F" w14:textId="58E90B2E" w:rsidR="00755F0B" w:rsidRDefault="00755F0B" w:rsidP="00755F0B">
            <w:pPr>
              <w:widowControl/>
              <w:spacing w:line="240" w:lineRule="auto"/>
              <w:jc w:val="left"/>
              <w:rPr>
                <w:rFonts w:ascii="ＭＳ 明朝" w:eastAsia="ＭＳ 明朝" w:hAnsi="ＭＳ 明朝" w:cs="ＭＳ 明朝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[aligned-ibr-jp-06]-Tax category tax amount (ibt-117) with currency code JPY and tax category tax amount in accounting currency (ibt-190) shall not have decimal.</w:t>
            </w:r>
          </w:p>
        </w:tc>
      </w:tr>
    </w:tbl>
    <w:p w14:paraId="65B2B5BE" w14:textId="77AFC0A3" w:rsidR="00A96F3D" w:rsidRDefault="003146B8" w:rsidP="00A96F3D">
      <w:pPr>
        <w:pStyle w:val="ListParagraph"/>
        <w:numPr>
          <w:ilvl w:val="0"/>
          <w:numId w:val="3"/>
        </w:numPr>
      </w:pPr>
      <w:r>
        <w:rPr>
          <w:rFonts w:hint="eastAsia"/>
        </w:rPr>
        <w:t>明細行の課税分類によって</w:t>
      </w:r>
      <w:r w:rsidR="00C87DFB" w:rsidRPr="00C87DFB">
        <w:t>TAX BREAKDOWN</w:t>
      </w:r>
      <w:r w:rsidR="0081624C">
        <w:rPr>
          <w:rFonts w:hint="eastAsia"/>
        </w:rPr>
        <w:t>の出現回数に制約を設けている次のルールは、</w:t>
      </w:r>
      <w:r w:rsidR="0081624C" w:rsidRPr="0081624C">
        <w:t>TAX BREAKDOWN</w:t>
      </w:r>
      <w:r w:rsidR="00C06573">
        <w:rPr>
          <w:rFonts w:hint="eastAsia"/>
        </w:rPr>
        <w:t>を定義しないため廃止する。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7643"/>
      </w:tblGrid>
      <w:tr w:rsidR="00C9590F" w:rsidRPr="00C44168" w14:paraId="0862D7CA" w14:textId="77777777" w:rsidTr="0042758F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31B1E542" w14:textId="77777777" w:rsidR="00C9590F" w:rsidRPr="00C44168" w:rsidRDefault="00000000" w:rsidP="0042758F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hyperlink r:id="rId25" w:history="1">
              <w:r w:rsidR="00C9590F">
                <w:rPr>
                  <w:rStyle w:val="Hyperlink"/>
                  <w:rFonts w:ascii="Segoe UI" w:hAnsi="Segoe UI" w:cs="Segoe UI"/>
                  <w:color w:val="007BFF"/>
                </w:rPr>
                <w:t>aligned-ibrp-e-01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10B4EFDE" w14:textId="77777777" w:rsidR="00C9590F" w:rsidRPr="00C44168" w:rsidRDefault="00C9590F" w:rsidP="0042758F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[aligned-ibrp-e-01]-An Invoice that contains an Invoice line (ibg-25), a Document level allowance (ibg-20) or a Document level charge (ibg-21) where the tax category code (ibt-151, ibt-95 or ibt-102) is "Exempt from tax" MUST contain exactly one tax breakdown (ibg-23) with the tax category code (ibt-118) equal to "Exempt from tax".</w:t>
            </w:r>
          </w:p>
        </w:tc>
      </w:tr>
      <w:tr w:rsidR="00DD7975" w:rsidRPr="00C44168" w14:paraId="0C9B42AF" w14:textId="77777777" w:rsidTr="000D266B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6B2B50AD" w14:textId="77777777" w:rsidR="00DD7975" w:rsidRPr="00C44168" w:rsidRDefault="00000000" w:rsidP="000D266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hyperlink r:id="rId26" w:history="1">
              <w:r w:rsidR="00DD7975">
                <w:rPr>
                  <w:rStyle w:val="Hyperlink"/>
                  <w:rFonts w:ascii="Segoe UI" w:hAnsi="Segoe UI" w:cs="Segoe UI"/>
                  <w:color w:val="007BFF"/>
                </w:rPr>
                <w:t>aligned-ibrp-e-09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77C2F0C2" w14:textId="77777777" w:rsidR="00DD7975" w:rsidRPr="00C44168" w:rsidRDefault="00DD7975" w:rsidP="000D266B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[aligned-ibrp-e-09]-The tax category tax amount (ibt-117) In a tax breakdown (ibg-23) where the tax category code (ibt-118) equals "Exempt from tax" MUST equal 0 (zero).</w:t>
            </w:r>
          </w:p>
        </w:tc>
      </w:tr>
      <w:tr w:rsidR="00930F11" w:rsidRPr="00C44168" w14:paraId="7F738592" w14:textId="77777777" w:rsidTr="00A96F3D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2409B99" w14:textId="39077956" w:rsidR="00930F11" w:rsidRPr="00C44168" w:rsidRDefault="00000000" w:rsidP="00930F11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hyperlink r:id="rId27" w:history="1">
              <w:r w:rsidR="00930F11">
                <w:rPr>
                  <w:rStyle w:val="Hyperlink"/>
                  <w:rFonts w:ascii="Segoe UI" w:hAnsi="Segoe UI" w:cs="Segoe UI"/>
                  <w:color w:val="007BFF"/>
                </w:rPr>
                <w:t>aligned-ibrp-g-01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39E0005" w14:textId="6EC6B0E1" w:rsidR="00930F11" w:rsidRPr="00C44168" w:rsidRDefault="00930F11" w:rsidP="00930F11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[aligned-ibrp-g-01]-An Invoice that contains an Invoice line (ibg-25), a Document level allowance (ibg-20) or a Document level charge (ibg-21) where the tax category code (ibt-151, ibt-95 or ibt-102) is "Export" MUST contain in the tax breakdown (ibg-23) exactly one tax category code (ibt-118) equal with "Export".</w:t>
            </w:r>
          </w:p>
        </w:tc>
      </w:tr>
      <w:tr w:rsidR="00DD7975" w:rsidRPr="00C44168" w14:paraId="6D813FC3" w14:textId="77777777" w:rsidTr="00D010D9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6B346A2" w14:textId="77777777" w:rsidR="00DD7975" w:rsidRDefault="00000000" w:rsidP="00D010D9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hyperlink r:id="rId28" w:history="1">
              <w:r w:rsidR="00DD7975">
                <w:rPr>
                  <w:rStyle w:val="Hyperlink"/>
                  <w:rFonts w:ascii="Segoe UI" w:hAnsi="Segoe UI" w:cs="Segoe UI"/>
                  <w:color w:val="007BFF"/>
                </w:rPr>
                <w:t>aligned-ibrp-g-09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46A971D8" w14:textId="77777777" w:rsidR="00DD7975" w:rsidRDefault="00DD7975" w:rsidP="00D010D9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[aligned-ibrp-g-09]-The tax category tax amount (ibt-117) in a tax breakdown (ibg-23) where the tax category code (ibt-118) is "Export" MUST be 0 (zero).</w:t>
            </w:r>
          </w:p>
        </w:tc>
      </w:tr>
      <w:tr w:rsidR="00DD7975" w:rsidRPr="00C44168" w14:paraId="741408DA" w14:textId="77777777" w:rsidTr="00BA7AD4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2567627D" w14:textId="77777777" w:rsidR="00DD7975" w:rsidRPr="00C44168" w:rsidRDefault="00000000" w:rsidP="00BA7AD4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hyperlink r:id="rId29" w:history="1">
              <w:r w:rsidR="00DD7975">
                <w:rPr>
                  <w:rStyle w:val="Hyperlink"/>
                  <w:rFonts w:ascii="Segoe UI" w:hAnsi="Segoe UI" w:cs="Segoe UI"/>
                  <w:color w:val="007BFF"/>
                </w:rPr>
                <w:t>aligned-ibrp-o-01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0A3A27C3" w14:textId="77777777" w:rsidR="00DD7975" w:rsidRPr="00C44168" w:rsidRDefault="00DD7975" w:rsidP="00BA7AD4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[aligned-ibrp-o-01]-An Invoice that contains an Invoice line (ibg-25), a Document level allowance (ibg-20) or a Document level charge (ibg-21) where the tax category code (ibt-151, ibt-95 or ibt-102) is "Not subject to tax" MUST contain exactly one tax breakdown group (ibg-23) with the tax category code (ibt-118) equal to "Not subject to tax".</w:t>
            </w:r>
          </w:p>
        </w:tc>
      </w:tr>
      <w:tr w:rsidR="00980168" w:rsidRPr="00C44168" w14:paraId="6588211D" w14:textId="77777777" w:rsidTr="00A96F3D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09C16723" w14:textId="033C2908" w:rsidR="00980168" w:rsidRDefault="00000000" w:rsidP="00980168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hyperlink r:id="rId30" w:history="1">
              <w:r w:rsidR="00980168">
                <w:rPr>
                  <w:rStyle w:val="Hyperlink"/>
                  <w:rFonts w:ascii="Segoe UI" w:hAnsi="Segoe UI" w:cs="Segoe UI"/>
                  <w:color w:val="0056B3"/>
                </w:rPr>
                <w:t>aligned-ibrp-o-09</w:t>
              </w:r>
            </w:hyperlink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5B9E5DFA" w14:textId="35FECD08" w:rsidR="00980168" w:rsidRDefault="00980168" w:rsidP="00980168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[aligned-ibrp-o-09]-The tax category tax amount (ibt-117) in a tax breakdown (ibg-23) where the tax category code (ibt-118) is "Not subject to tax" MUST be 0 (zero).</w:t>
            </w:r>
          </w:p>
        </w:tc>
      </w:tr>
    </w:tbl>
    <w:p w14:paraId="1EBFF9A1" w14:textId="77777777" w:rsidR="00C06573" w:rsidRDefault="00C06573" w:rsidP="00C06573">
      <w:pPr>
        <w:pStyle w:val="ListParagraph"/>
        <w:numPr>
          <w:ilvl w:val="0"/>
          <w:numId w:val="3"/>
        </w:numPr>
      </w:pPr>
      <w:r>
        <w:rPr>
          <w:rFonts w:hint="eastAsia"/>
        </w:rPr>
        <w:t>課税分類ごとの課税金額を持たないことを要請するルールを新設する。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7643"/>
      </w:tblGrid>
      <w:tr w:rsidR="00C06573" w:rsidRPr="00C44168" w14:paraId="56A026F3" w14:textId="77777777" w:rsidTr="008D3233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45D85733" w14:textId="77777777" w:rsidR="00C06573" w:rsidRDefault="00C06573" w:rsidP="008D323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aligned-ibrp-x3</w:t>
            </w:r>
          </w:p>
          <w:p w14:paraId="179624D5" w14:textId="77777777" w:rsidR="00C06573" w:rsidRDefault="00C06573" w:rsidP="008D323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 w:hint="eastAsia"/>
                <w:color w:val="212529"/>
              </w:rPr>
              <w:t>（新設）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760FC908" w14:textId="77777777" w:rsidR="00C06573" w:rsidRDefault="00C06573" w:rsidP="008D3233">
            <w:pPr>
              <w:widowControl/>
              <w:spacing w:line="240" w:lineRule="auto"/>
              <w:jc w:val="left"/>
              <w:rPr>
                <w:rFonts w:ascii="ＭＳ 明朝" w:eastAsia="ＭＳ 明朝" w:hAnsi="ＭＳ 明朝" w:cs="ＭＳ 明朝"/>
                <w:color w:val="212529"/>
              </w:rPr>
            </w:pPr>
            <w:r>
              <w:rPr>
                <w:rFonts w:ascii="Segoe UI" w:hAnsi="Segoe UI" w:cs="Segoe UI" w:hint="eastAsia"/>
                <w:color w:val="212529"/>
              </w:rPr>
              <w:t>[</w:t>
            </w:r>
            <w:r>
              <w:rPr>
                <w:rFonts w:ascii="Segoe UI" w:hAnsi="Segoe UI" w:cs="Segoe UI"/>
                <w:color w:val="212529"/>
              </w:rPr>
              <w:t>aligned-ibrp-x3]-An Invoice shall NOT have tax breakdown (ibg-23).</w:t>
            </w:r>
          </w:p>
        </w:tc>
      </w:tr>
      <w:tr w:rsidR="00C06573" w:rsidRPr="00C44168" w14:paraId="2B81497F" w14:textId="77777777" w:rsidTr="008D3233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5903199C" w14:textId="77777777" w:rsidR="00C06573" w:rsidRDefault="00C06573" w:rsidP="008D323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Context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66FA4DA3" w14:textId="77777777" w:rsidR="00C06573" w:rsidRDefault="00C06573" w:rsidP="008D3233">
            <w:pPr>
              <w:widowControl/>
              <w:spacing w:line="240" w:lineRule="auto"/>
              <w:jc w:val="left"/>
              <w:rPr>
                <w:rFonts w:ascii="ＭＳ 明朝" w:eastAsia="ＭＳ 明朝" w:hAnsi="ＭＳ 明朝" w:cs="ＭＳ 明朝"/>
                <w:color w:val="212529"/>
              </w:rPr>
            </w:pPr>
            <w:r w:rsidRPr="00EA0AE2">
              <w:rPr>
                <w:rFonts w:ascii="Segoe UI" w:eastAsia="Times New Roman" w:hAnsi="Segoe UI" w:cs="Segoe UI"/>
                <w:color w:val="212529"/>
              </w:rPr>
              <w:t>/ubl:Invoice | /cn:CreditNote</w:t>
            </w:r>
          </w:p>
        </w:tc>
      </w:tr>
      <w:tr w:rsidR="00C06573" w:rsidRPr="00C44168" w14:paraId="48E7782D" w14:textId="77777777" w:rsidTr="008D3233">
        <w:tc>
          <w:tcPr>
            <w:tcW w:w="1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19ED5A77" w14:textId="77777777" w:rsidR="00C06573" w:rsidRDefault="00C06573" w:rsidP="008D3233">
            <w:pPr>
              <w:widowControl/>
              <w:spacing w:line="240" w:lineRule="auto"/>
              <w:jc w:val="left"/>
              <w:rPr>
                <w:rFonts w:ascii="Segoe UI" w:hAnsi="Segoe UI" w:cs="Segoe UI"/>
                <w:color w:val="212529"/>
              </w:rPr>
            </w:pPr>
            <w:r w:rsidRPr="00A35CE3">
              <w:rPr>
                <w:rFonts w:ascii="Segoe UI" w:eastAsia="Times New Roman" w:hAnsi="Segoe UI" w:cs="Segoe UI"/>
                <w:color w:val="212529"/>
              </w:rPr>
              <w:t>Test</w:t>
            </w:r>
          </w:p>
        </w:tc>
        <w:tc>
          <w:tcPr>
            <w:tcW w:w="4000" w:type="pct"/>
            <w:tcBorders>
              <w:top w:val="single" w:sz="6" w:space="0" w:color="DEE2E6"/>
              <w:bottom w:val="single" w:sz="6" w:space="0" w:color="DEE2E6"/>
            </w:tcBorders>
            <w:shd w:val="clear" w:color="auto" w:fill="FFFFFF"/>
          </w:tcPr>
          <w:p w14:paraId="41B44C17" w14:textId="77777777" w:rsidR="00C06573" w:rsidRPr="00EA0AE2" w:rsidRDefault="00C06573" w:rsidP="008D3233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not</w:t>
            </w:r>
            <w:r w:rsidRPr="00EA0AE2">
              <w:rPr>
                <w:rFonts w:ascii="Segoe UI" w:eastAsia="Times New Roman" w:hAnsi="Segoe UI" w:cs="Segoe UI"/>
                <w:color w:val="212529"/>
              </w:rPr>
              <w:t>(</w:t>
            </w:r>
          </w:p>
          <w:p w14:paraId="3CD7E56C" w14:textId="77777777" w:rsidR="00C06573" w:rsidRDefault="00C06573" w:rsidP="008D3233">
            <w:pPr>
              <w:widowControl/>
              <w:spacing w:line="240" w:lineRule="auto"/>
              <w:jc w:val="left"/>
              <w:rPr>
                <w:rFonts w:ascii="Segoe UI" w:eastAsia="Times New Roman" w:hAnsi="Segoe UI" w:cs="Segoe UI"/>
                <w:color w:val="212529"/>
              </w:rPr>
            </w:pPr>
            <w:r w:rsidRPr="00EA0AE2">
              <w:rPr>
                <w:rFonts w:ascii="Segoe UI" w:eastAsia="Times New Roman" w:hAnsi="Segoe UI" w:cs="Segoe UI"/>
                <w:color w:val="212529"/>
              </w:rPr>
              <w:t xml:space="preserve">    cac:</w:t>
            </w:r>
            <w:r>
              <w:rPr>
                <w:rFonts w:asciiTheme="minorEastAsia" w:hAnsiTheme="minorEastAsia" w:cs="Segoe UI" w:hint="eastAsia"/>
                <w:color w:val="212529"/>
              </w:rPr>
              <w:t>TaxTotal</w:t>
            </w:r>
            <w:r w:rsidRPr="00EA0AE2">
              <w:rPr>
                <w:rFonts w:ascii="Segoe UI" w:eastAsia="Times New Roman" w:hAnsi="Segoe UI" w:cs="Segoe UI"/>
                <w:color w:val="212529"/>
              </w:rPr>
              <w:t>/cac</w:t>
            </w:r>
            <w:r>
              <w:rPr>
                <w:rFonts w:ascii="Segoe UI" w:eastAsia="Times New Roman" w:hAnsi="Segoe UI" w:cs="Segoe UI"/>
                <w:color w:val="212529"/>
              </w:rPr>
              <w:t>:TaxSubtotal</w:t>
            </w:r>
          </w:p>
          <w:p w14:paraId="41893C9F" w14:textId="77777777" w:rsidR="00C06573" w:rsidRDefault="00C06573" w:rsidP="008D3233">
            <w:pPr>
              <w:widowControl/>
              <w:spacing w:line="240" w:lineRule="auto"/>
              <w:jc w:val="left"/>
              <w:rPr>
                <w:rFonts w:ascii="ＭＳ 明朝" w:eastAsia="ＭＳ 明朝" w:hAnsi="ＭＳ 明朝" w:cs="ＭＳ 明朝"/>
                <w:color w:val="212529"/>
              </w:rPr>
            </w:pPr>
            <w:r w:rsidRPr="00EA0AE2">
              <w:rPr>
                <w:rFonts w:ascii="Segoe UI" w:eastAsia="Times New Roman" w:hAnsi="Segoe UI" w:cs="Segoe UI"/>
                <w:color w:val="212529"/>
              </w:rPr>
              <w:t>)</w:t>
            </w:r>
          </w:p>
        </w:tc>
      </w:tr>
    </w:tbl>
    <w:p w14:paraId="4D217977" w14:textId="77777777" w:rsidR="00367515" w:rsidRDefault="00367515" w:rsidP="00C44168"/>
    <w:p w14:paraId="6D50D06A" w14:textId="6CC498A9" w:rsidR="00C44168" w:rsidRDefault="00CC58F3" w:rsidP="00C44168">
      <w:r>
        <w:rPr>
          <w:rFonts w:hint="eastAsia"/>
        </w:rPr>
        <w:t>これらの変更を行ったサンプルインボイスと変更後のA</w:t>
      </w:r>
      <w:r>
        <w:t>ligned</w:t>
      </w:r>
      <w:r>
        <w:rPr>
          <w:rFonts w:hint="eastAsia"/>
        </w:rPr>
        <w:t>ルールを添付する。</w:t>
      </w:r>
    </w:p>
    <w:sectPr w:rsidR="00C44168" w:rsidSect="007F3BB2">
      <w:footerReference w:type="default" r:id="rId31"/>
      <w:pgSz w:w="11906" w:h="16838"/>
      <w:pgMar w:top="720" w:right="964" w:bottom="720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08AF" w14:textId="77777777" w:rsidR="00F175C8" w:rsidRDefault="00F175C8" w:rsidP="007F3BB2">
      <w:pPr>
        <w:spacing w:line="240" w:lineRule="auto"/>
      </w:pPr>
      <w:r>
        <w:separator/>
      </w:r>
    </w:p>
  </w:endnote>
  <w:endnote w:type="continuationSeparator" w:id="0">
    <w:p w14:paraId="72E62776" w14:textId="77777777" w:rsidR="00F175C8" w:rsidRDefault="00F175C8" w:rsidP="007F3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9352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B9BA7" w14:textId="2C5AE412" w:rsidR="007F3BB2" w:rsidRDefault="007F3B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7ECE38" w14:textId="77777777" w:rsidR="007F3BB2" w:rsidRDefault="007F3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A9C57" w14:textId="77777777" w:rsidR="00F175C8" w:rsidRDefault="00F175C8" w:rsidP="007F3BB2">
      <w:pPr>
        <w:spacing w:line="240" w:lineRule="auto"/>
      </w:pPr>
      <w:r>
        <w:separator/>
      </w:r>
    </w:p>
  </w:footnote>
  <w:footnote w:type="continuationSeparator" w:id="0">
    <w:p w14:paraId="175E3B91" w14:textId="77777777" w:rsidR="00F175C8" w:rsidRDefault="00F175C8" w:rsidP="007F3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C7EB8"/>
    <w:multiLevelType w:val="multilevel"/>
    <w:tmpl w:val="7940EC4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</w:pPr>
      <w:rPr>
        <w:rFonts w:cs="Times New Roman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1" w15:restartNumberingAfterBreak="0">
    <w:nsid w:val="797D0F1B"/>
    <w:multiLevelType w:val="hybridMultilevel"/>
    <w:tmpl w:val="5290E25E"/>
    <w:lvl w:ilvl="0" w:tplc="00CC07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557412">
    <w:abstractNumId w:val="0"/>
  </w:num>
  <w:num w:numId="2" w16cid:durableId="861020261">
    <w:abstractNumId w:val="0"/>
  </w:num>
  <w:num w:numId="3" w16cid:durableId="1095395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65"/>
    <w:rsid w:val="00012DDC"/>
    <w:rsid w:val="00030600"/>
    <w:rsid w:val="00035091"/>
    <w:rsid w:val="00037C1B"/>
    <w:rsid w:val="00064FF3"/>
    <w:rsid w:val="0009041E"/>
    <w:rsid w:val="000C0D80"/>
    <w:rsid w:val="00135184"/>
    <w:rsid w:val="00137929"/>
    <w:rsid w:val="00150415"/>
    <w:rsid w:val="00155B0B"/>
    <w:rsid w:val="00185760"/>
    <w:rsid w:val="00187665"/>
    <w:rsid w:val="001A49F7"/>
    <w:rsid w:val="002F6E24"/>
    <w:rsid w:val="003146B8"/>
    <w:rsid w:val="003313D7"/>
    <w:rsid w:val="00335215"/>
    <w:rsid w:val="00367515"/>
    <w:rsid w:val="00370AEF"/>
    <w:rsid w:val="00375D46"/>
    <w:rsid w:val="003B4B03"/>
    <w:rsid w:val="003D60C9"/>
    <w:rsid w:val="00405B66"/>
    <w:rsid w:val="00421754"/>
    <w:rsid w:val="00465C82"/>
    <w:rsid w:val="00477184"/>
    <w:rsid w:val="00487AE1"/>
    <w:rsid w:val="00540A7C"/>
    <w:rsid w:val="005515E3"/>
    <w:rsid w:val="005852E4"/>
    <w:rsid w:val="005C2001"/>
    <w:rsid w:val="005D41DF"/>
    <w:rsid w:val="005F61F5"/>
    <w:rsid w:val="006169A9"/>
    <w:rsid w:val="006950CF"/>
    <w:rsid w:val="006A2370"/>
    <w:rsid w:val="006C40FE"/>
    <w:rsid w:val="006E7D88"/>
    <w:rsid w:val="006F421D"/>
    <w:rsid w:val="00734FE2"/>
    <w:rsid w:val="007402B5"/>
    <w:rsid w:val="00755F0B"/>
    <w:rsid w:val="00755F6C"/>
    <w:rsid w:val="007850A9"/>
    <w:rsid w:val="007A5DCD"/>
    <w:rsid w:val="007C5B14"/>
    <w:rsid w:val="007F3A7E"/>
    <w:rsid w:val="007F3BB2"/>
    <w:rsid w:val="0081624C"/>
    <w:rsid w:val="008268B7"/>
    <w:rsid w:val="00841F06"/>
    <w:rsid w:val="00875AAA"/>
    <w:rsid w:val="00894F2C"/>
    <w:rsid w:val="00901089"/>
    <w:rsid w:val="00921FFD"/>
    <w:rsid w:val="00930F11"/>
    <w:rsid w:val="00952488"/>
    <w:rsid w:val="00955367"/>
    <w:rsid w:val="00980168"/>
    <w:rsid w:val="009B20BA"/>
    <w:rsid w:val="009E2235"/>
    <w:rsid w:val="00A13835"/>
    <w:rsid w:val="00A35CE3"/>
    <w:rsid w:val="00A40C5B"/>
    <w:rsid w:val="00A9591C"/>
    <w:rsid w:val="00A96F3D"/>
    <w:rsid w:val="00AC65D7"/>
    <w:rsid w:val="00AF049C"/>
    <w:rsid w:val="00AF1F9F"/>
    <w:rsid w:val="00B20F0C"/>
    <w:rsid w:val="00B43CC0"/>
    <w:rsid w:val="00B7352B"/>
    <w:rsid w:val="00BC7E3E"/>
    <w:rsid w:val="00BE4AD6"/>
    <w:rsid w:val="00C06573"/>
    <w:rsid w:val="00C41456"/>
    <w:rsid w:val="00C44168"/>
    <w:rsid w:val="00C75E55"/>
    <w:rsid w:val="00C87DFB"/>
    <w:rsid w:val="00C9590F"/>
    <w:rsid w:val="00C96241"/>
    <w:rsid w:val="00CA004B"/>
    <w:rsid w:val="00CC58F3"/>
    <w:rsid w:val="00D57649"/>
    <w:rsid w:val="00D904CD"/>
    <w:rsid w:val="00DB6EDE"/>
    <w:rsid w:val="00DD7975"/>
    <w:rsid w:val="00E85078"/>
    <w:rsid w:val="00E909F8"/>
    <w:rsid w:val="00E931AB"/>
    <w:rsid w:val="00EA0AE2"/>
    <w:rsid w:val="00EC3EA4"/>
    <w:rsid w:val="00F175C8"/>
    <w:rsid w:val="00F222B8"/>
    <w:rsid w:val="00F46CBF"/>
    <w:rsid w:val="00FE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A6C4A"/>
  <w15:chartTrackingRefBased/>
  <w15:docId w15:val="{D9DEE9C8-05CA-4082-BBBC-8CBAF731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AE1"/>
    <w:pPr>
      <w:widowControl w:val="0"/>
      <w:spacing w:after="0"/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665"/>
    <w:pPr>
      <w:keepNext/>
      <w:widowControl/>
      <w:numPr>
        <w:numId w:val="1"/>
      </w:numPr>
      <w:tabs>
        <w:tab w:val="left" w:pos="400"/>
        <w:tab w:val="left" w:pos="560"/>
      </w:tabs>
      <w:suppressAutoHyphens/>
      <w:spacing w:before="270" w:after="120" w:line="270" w:lineRule="atLeast"/>
      <w:ind w:left="0" w:firstLine="0"/>
      <w:jc w:val="left"/>
      <w:outlineLvl w:val="0"/>
    </w:pPr>
    <w:rPr>
      <w:rFonts w:ascii="Cambria" w:eastAsia="ＭＳ 明朝" w:hAnsi="Cambria" w:cs="Times New Roman"/>
      <w:b/>
      <w:sz w:val="26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87665"/>
    <w:pPr>
      <w:numPr>
        <w:ilvl w:val="1"/>
      </w:numPr>
      <w:tabs>
        <w:tab w:val="clear" w:pos="360"/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187665"/>
    <w:pPr>
      <w:numPr>
        <w:ilvl w:val="2"/>
      </w:numPr>
      <w:tabs>
        <w:tab w:val="clear" w:pos="400"/>
        <w:tab w:val="clear" w:pos="560"/>
        <w:tab w:val="left" w:pos="880"/>
      </w:tabs>
      <w:spacing w:before="120" w:line="240" w:lineRule="atLeas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187665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187665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187665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665"/>
    <w:rPr>
      <w:rFonts w:ascii="Cambria" w:eastAsia="ＭＳ 明朝" w:hAnsi="Cambria" w:cs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87665"/>
    <w:rPr>
      <w:rFonts w:ascii="Cambria" w:eastAsia="ＭＳ 明朝" w:hAnsi="Cambria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7665"/>
    <w:rPr>
      <w:rFonts w:ascii="Cambria" w:eastAsia="ＭＳ 明朝" w:hAnsi="Cambria" w:cs="Times New Roman"/>
      <w:b/>
    </w:rPr>
  </w:style>
  <w:style w:type="character" w:customStyle="1" w:styleId="Heading4Char">
    <w:name w:val="Heading 4 Char"/>
    <w:basedOn w:val="DefaultParagraphFont"/>
    <w:link w:val="Heading4"/>
    <w:uiPriority w:val="4"/>
    <w:rsid w:val="00187665"/>
    <w:rPr>
      <w:rFonts w:ascii="Cambria" w:eastAsia="ＭＳ 明朝" w:hAnsi="Cambria" w:cs="Times New Roman"/>
      <w:b/>
    </w:rPr>
  </w:style>
  <w:style w:type="character" w:customStyle="1" w:styleId="Heading5Char">
    <w:name w:val="Heading 5 Char"/>
    <w:basedOn w:val="DefaultParagraphFont"/>
    <w:link w:val="Heading5"/>
    <w:uiPriority w:val="5"/>
    <w:rsid w:val="00187665"/>
    <w:rPr>
      <w:rFonts w:ascii="Cambria" w:eastAsia="ＭＳ 明朝" w:hAnsi="Cambria" w:cs="Times New Roman"/>
      <w:b/>
    </w:rPr>
  </w:style>
  <w:style w:type="character" w:customStyle="1" w:styleId="Heading6Char">
    <w:name w:val="Heading 6 Char"/>
    <w:basedOn w:val="DefaultParagraphFont"/>
    <w:link w:val="Heading6"/>
    <w:uiPriority w:val="6"/>
    <w:rsid w:val="00187665"/>
    <w:rPr>
      <w:rFonts w:ascii="Cambria" w:eastAsia="ＭＳ 明朝" w:hAnsi="Cambria" w:cs="Times New Roman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A40C5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F3BB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BB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F3BB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BB2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41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5CE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A00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352B"/>
    <w:pPr>
      <w:ind w:left="720"/>
      <w:contextualSpacing/>
    </w:pPr>
  </w:style>
  <w:style w:type="table" w:styleId="TableGrid">
    <w:name w:val="Table Grid"/>
    <w:basedOn w:val="TableNormal"/>
    <w:uiPriority w:val="39"/>
    <w:rsid w:val="00C41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-docs.peppol.eu/pint/pint-jp/work-v1/pint-jp/trn-invoice/rule/aligned-ibr-jp-01/" TargetMode="External"/><Relationship Id="rId18" Type="http://schemas.openxmlformats.org/officeDocument/2006/relationships/hyperlink" Target="https://test-docs.peppol.eu/pint/pint-jp/work-v1/pint-jp/trn-invoice/rule/aligned-ibrp-sr-13/" TargetMode="External"/><Relationship Id="rId26" Type="http://schemas.openxmlformats.org/officeDocument/2006/relationships/hyperlink" Target="https://test-docs.peppol.eu/pint/pint-jp/work-v1/pint-jp/trn-invoice/rule/aligned-ibrp-e-0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-docs.peppol.eu/pint/pint-jp/work-v1/pint-jp/trn-invoice/rule/aligned-ibrp-046/" TargetMode="External"/><Relationship Id="rId7" Type="http://schemas.openxmlformats.org/officeDocument/2006/relationships/hyperlink" Target="https://test-docs.peppol.eu/pint/pint-jp/work-v1/pint-jp/trn-invoice/rule/ibr-co-26/" TargetMode="External"/><Relationship Id="rId12" Type="http://schemas.openxmlformats.org/officeDocument/2006/relationships/hyperlink" Target="https://test-docs.peppol.eu/pint/pint-jp/work-v1/pint-jp/trn-invoice/rule/aligned-ibrp-002-jp/" TargetMode="External"/><Relationship Id="rId17" Type="http://schemas.openxmlformats.org/officeDocument/2006/relationships/hyperlink" Target="https://test-docs.peppol.eu/pint/pint-jp/work-v1/pint-jp/trn-invoice/rule/aligned-ibrp-sr-12/" TargetMode="External"/><Relationship Id="rId25" Type="http://schemas.openxmlformats.org/officeDocument/2006/relationships/hyperlink" Target="https://test-docs.peppol.eu/pint/pint-jp/work-v1/pint-jp/trn-invoice/rule/aligned-ibrp-e-01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-docs.peppol.eu/pint/pint-jp/work-v1/pint-jp/trn-invoice/rule/aligned-ibrp-009/" TargetMode="External"/><Relationship Id="rId20" Type="http://schemas.openxmlformats.org/officeDocument/2006/relationships/hyperlink" Target="https://test-docs.peppol.eu/pint/pint-jp/work-v1/pint-jp/trn-invoice/rule/aligned-ibrp-051-jp/" TargetMode="External"/><Relationship Id="rId29" Type="http://schemas.openxmlformats.org/officeDocument/2006/relationships/hyperlink" Target="https://test-docs.peppol.eu/pint/pint-jp/work-v1/pint-jp/trn-invoice/rule/aligned-ibrp-o-0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-docs.peppol.eu/pint/pint-jp/work-v1/pint-jp/trn-invoice/rule/aligned-ibrp-001-jp/" TargetMode="External"/><Relationship Id="rId24" Type="http://schemas.openxmlformats.org/officeDocument/2006/relationships/hyperlink" Target="https://test-docs.peppol.eu/pint/pint-jp/work-v1/pint-jp/trn-invoice/rule/aligned-ibr-jp-06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test-docs.peppol.eu/pint/pint-jp/work-v1/pint-jp/trn-invoice/rule/aligned-ibr-jp-04/" TargetMode="External"/><Relationship Id="rId23" Type="http://schemas.openxmlformats.org/officeDocument/2006/relationships/hyperlink" Target="https://test-docs.peppol.eu/pint/pint-jp/work-v1/pint-jp/trn-invoice/rule/aligned-ibrp-048/" TargetMode="External"/><Relationship Id="rId28" Type="http://schemas.openxmlformats.org/officeDocument/2006/relationships/hyperlink" Target="https://test-docs.peppol.eu/pint/pint-jp/work-v1/pint-jp/trn-invoice/rule/aligned-ibrp-g-09/" TargetMode="External"/><Relationship Id="rId10" Type="http://schemas.openxmlformats.org/officeDocument/2006/relationships/hyperlink" Target="https://test-docs.peppol.eu/pint/pint-jp/work-v1/pint-jp/trn-invoice/rule/ibr-co-15/" TargetMode="External"/><Relationship Id="rId19" Type="http://schemas.openxmlformats.org/officeDocument/2006/relationships/hyperlink" Target="https://test-docs.peppol.eu/pint/pint-jp/work-v1/pint-jp/trn-invoice/rule/aligned-ibrp-045/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est-docs.peppol.eu/pint/pint-jp/work-v1/pint-jp/trn-invoice/rule/ibr-co-14/" TargetMode="External"/><Relationship Id="rId14" Type="http://schemas.openxmlformats.org/officeDocument/2006/relationships/hyperlink" Target="https://test-docs.peppol.eu/pint/pint-jp/work-v1/pint-jp/trn-invoice/rule/aligned-ibr-jp-05/" TargetMode="External"/><Relationship Id="rId22" Type="http://schemas.openxmlformats.org/officeDocument/2006/relationships/hyperlink" Target="https://test-docs.peppol.eu/pint/pint-jp/work-v1/pint-jp/trn-invoice/rule/aligned-ibrp-047/" TargetMode="External"/><Relationship Id="rId27" Type="http://schemas.openxmlformats.org/officeDocument/2006/relationships/hyperlink" Target="https://test-docs.peppol.eu/pint/pint-jp/work-v1/pint-jp/trn-invoice/rule/aligned-ibrp-g-01/" TargetMode="External"/><Relationship Id="rId30" Type="http://schemas.openxmlformats.org/officeDocument/2006/relationships/hyperlink" Target="https://test-docs.peppol.eu/pint/pint-jp/work-v1/pint-jp/trn-invoice/rule/aligned-ibrp-o-09/" TargetMode="External"/><Relationship Id="rId8" Type="http://schemas.openxmlformats.org/officeDocument/2006/relationships/hyperlink" Target="https://test-docs.peppol.eu/pint/pint-jp/work-v1/pint-jp/trn-invoice/rule/ibr-124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</dc:creator>
  <cp:keywords/>
  <dc:description/>
  <cp:lastModifiedBy>Nobu</cp:lastModifiedBy>
  <cp:revision>2</cp:revision>
  <dcterms:created xsi:type="dcterms:W3CDTF">2023-09-14T22:14:00Z</dcterms:created>
  <dcterms:modified xsi:type="dcterms:W3CDTF">2023-09-14T22:14:00Z</dcterms:modified>
</cp:coreProperties>
</file>