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0884" w14:textId="4E9BDF14" w:rsidR="00ED2D71" w:rsidRPr="00172142" w:rsidRDefault="00ED2D71" w:rsidP="00172142">
      <w:pPr>
        <w:pStyle w:val="a3"/>
      </w:pPr>
      <w:r w:rsidRPr="00172142">
        <w:rPr>
          <w:rFonts w:hint="eastAsia"/>
        </w:rPr>
        <w:t>中小企業のデジタル化を推進するためのコアインボイス活用</w:t>
      </w:r>
      <w:r w:rsidRPr="00172142">
        <w:rPr>
          <w:rFonts w:hint="eastAsia"/>
        </w:rPr>
        <w:t>(</w:t>
      </w:r>
      <w:r w:rsidRPr="00172142">
        <w:rPr>
          <w:rFonts w:hint="eastAsia"/>
        </w:rPr>
        <w:t>後編</w:t>
      </w:r>
      <w:r w:rsidRPr="00172142">
        <w:t>)</w:t>
      </w:r>
    </w:p>
    <w:p w14:paraId="3B02A18C" w14:textId="77777777" w:rsidR="00ED2D71" w:rsidRDefault="00ED2D71" w:rsidP="00ED2D71">
      <w:pPr>
        <w:spacing w:before="0"/>
        <w:jc w:val="right"/>
        <w:rPr>
          <w:lang w:eastAsia="zh-TW"/>
        </w:rPr>
      </w:pPr>
      <w:r>
        <w:rPr>
          <w:rFonts w:hint="eastAsia"/>
          <w:lang w:eastAsia="zh-TW"/>
        </w:rPr>
        <w:t>三分一信之</w:t>
      </w:r>
    </w:p>
    <w:p w14:paraId="6EFC44F5" w14:textId="77777777" w:rsidR="00ED2D71" w:rsidRPr="00473500" w:rsidRDefault="00ED2D71" w:rsidP="00ED2D71">
      <w:pPr>
        <w:spacing w:before="0"/>
        <w:jc w:val="right"/>
        <w:rPr>
          <w:sz w:val="20"/>
          <w:szCs w:val="20"/>
          <w:lang w:eastAsia="zh-TW"/>
        </w:rPr>
      </w:pPr>
      <w:r w:rsidRPr="00473500">
        <w:rPr>
          <w:rFonts w:hint="eastAsia"/>
          <w:sz w:val="20"/>
          <w:szCs w:val="20"/>
          <w:lang w:eastAsia="zh-TW"/>
        </w:rPr>
        <w:t>三分一技術士事務所所長</w:t>
      </w:r>
    </w:p>
    <w:p w14:paraId="5EEE67AF" w14:textId="77777777" w:rsidR="00ED2D71" w:rsidRPr="00BD4211" w:rsidRDefault="00ED2D71" w:rsidP="00ED2D71">
      <w:pPr>
        <w:spacing w:before="0"/>
        <w:jc w:val="right"/>
      </w:pPr>
      <w:r w:rsidRPr="00473500">
        <w:rPr>
          <w:sz w:val="20"/>
          <w:szCs w:val="20"/>
        </w:rPr>
        <w:t>ISO/TC 295/SG 1 Convener</w:t>
      </w:r>
    </w:p>
    <w:p w14:paraId="7D8654A3" w14:textId="2B3D4045" w:rsidR="00753DCC" w:rsidRPr="00172142" w:rsidRDefault="00753DCC" w:rsidP="00172142">
      <w:pPr>
        <w:pStyle w:val="1"/>
      </w:pPr>
      <w:r w:rsidRPr="00172142">
        <w:rPr>
          <w:rFonts w:hint="eastAsia"/>
        </w:rPr>
        <w:t>日本版</w:t>
      </w:r>
      <w:r w:rsidR="00ED2D71" w:rsidRPr="00172142">
        <w:rPr>
          <w:rFonts w:hint="eastAsia"/>
        </w:rPr>
        <w:t>コアインボイス　ゲートウェイ</w:t>
      </w:r>
    </w:p>
    <w:p w14:paraId="03C7C806" w14:textId="34F53B02" w:rsidR="002454AE" w:rsidRPr="00753DCC" w:rsidRDefault="00753DCC" w:rsidP="00753DCC">
      <w:r w:rsidRPr="00753DCC">
        <w:rPr>
          <w:rFonts w:hint="eastAsia"/>
        </w:rPr>
        <w:t>日本版</w:t>
      </w:r>
      <w:r w:rsidR="00ED2D71">
        <w:rPr>
          <w:rFonts w:hint="eastAsia"/>
        </w:rPr>
        <w:t>コアインボイス　ゲートウェイ</w:t>
      </w:r>
      <w:r w:rsidRPr="00753DCC">
        <w:rPr>
          <w:rFonts w:hint="eastAsia"/>
        </w:rPr>
        <w:t>は、中小企業が</w:t>
      </w:r>
      <w:r w:rsidR="00ED2D71">
        <w:rPr>
          <w:rFonts w:hint="eastAsia"/>
        </w:rPr>
        <w:t>電子請求書</w:t>
      </w:r>
      <w:r w:rsidRPr="00753DCC">
        <w:rPr>
          <w:rFonts w:hint="eastAsia"/>
        </w:rPr>
        <w:t>を利用するための便利なツールです。具体的には、中小企業共通</w:t>
      </w:r>
      <w:r w:rsidRPr="00753DCC">
        <w:rPr>
          <w:rFonts w:hint="eastAsia"/>
          <w:lang w:val="en-US"/>
        </w:rPr>
        <w:t>EDI</w:t>
      </w:r>
      <w:r w:rsidRPr="00753DCC">
        <w:rPr>
          <w:rFonts w:hint="eastAsia"/>
        </w:rPr>
        <w:t>と</w:t>
      </w:r>
      <w:r w:rsidRPr="00753DCC">
        <w:rPr>
          <w:rFonts w:hint="eastAsia"/>
          <w:lang w:val="en-US"/>
        </w:rPr>
        <w:t>JP PINT</w:t>
      </w:r>
      <w:r w:rsidRPr="00753DCC">
        <w:rPr>
          <w:rFonts w:hint="eastAsia"/>
        </w:rPr>
        <w:t>という二つの異なるデータ形式間のデータ変換を行う役割を果たします</w:t>
      </w:r>
      <w:r w:rsidR="00BD4211">
        <w:rPr>
          <w:rFonts w:hint="eastAsia"/>
        </w:rPr>
        <w:t>（試行中）</w:t>
      </w:r>
      <w:r w:rsidRPr="00753DCC">
        <w:rPr>
          <w:rFonts w:hint="eastAsia"/>
        </w:rPr>
        <w:t>。</w:t>
      </w:r>
    </w:p>
    <w:p w14:paraId="5E0F5240" w14:textId="2A90D931" w:rsidR="00753DCC" w:rsidRPr="00753DCC" w:rsidRDefault="00753DCC" w:rsidP="00753DCC">
      <w:r w:rsidRPr="00753DCC">
        <w:rPr>
          <w:rFonts w:hint="eastAsia"/>
        </w:rPr>
        <w:t>これにより、中小企業でも</w:t>
      </w:r>
      <w:r w:rsidR="00ED2D71">
        <w:rPr>
          <w:rFonts w:hint="eastAsia"/>
          <w:lang w:val="en-US"/>
        </w:rPr>
        <w:t>OpenPeppol</w:t>
      </w:r>
      <w:r w:rsidRPr="00753DCC">
        <w:rPr>
          <w:rFonts w:hint="eastAsia"/>
        </w:rPr>
        <w:t>という世界的な</w:t>
      </w:r>
      <w:r w:rsidR="00ED2D71">
        <w:rPr>
          <w:rFonts w:hint="eastAsia"/>
        </w:rPr>
        <w:t>電子請求書</w:t>
      </w:r>
      <w:r w:rsidRPr="00753DCC">
        <w:rPr>
          <w:rFonts w:hint="eastAsia"/>
        </w:rPr>
        <w:t>ネットワークのアクセスポイントに接続することが可能になります。このゲートウェイは、日本版コアインボイスの</w:t>
      </w:r>
      <w:r w:rsidR="00757BA3">
        <w:rPr>
          <w:rFonts w:hint="eastAsia"/>
        </w:rPr>
        <w:t>論理モデル</w:t>
      </w:r>
      <w:r w:rsidRPr="00753DCC">
        <w:rPr>
          <w:rFonts w:hint="eastAsia"/>
        </w:rPr>
        <w:t>（データの意味を表現するモデル）に対応した</w:t>
      </w:r>
      <w:r w:rsidRPr="00753DCC">
        <w:rPr>
          <w:rFonts w:hint="eastAsia"/>
          <w:lang w:val="en-US"/>
        </w:rPr>
        <w:t>CSV</w:t>
      </w:r>
      <w:r w:rsidR="00EB609C">
        <w:rPr>
          <w:rFonts w:hint="eastAsia"/>
          <w:lang w:val="en-US"/>
        </w:rPr>
        <w:t>の</w:t>
      </w:r>
      <w:r w:rsidRPr="00753DCC">
        <w:rPr>
          <w:rFonts w:hint="eastAsia"/>
        </w:rPr>
        <w:t>標準データ形式を利用しています。</w:t>
      </w:r>
    </w:p>
    <w:p w14:paraId="1E131897" w14:textId="4CB9085B" w:rsidR="00753DCC" w:rsidRPr="00753DCC" w:rsidRDefault="00753DCC" w:rsidP="00753DCC">
      <w:r w:rsidRPr="00753DCC">
        <w:rPr>
          <w:rFonts w:hint="eastAsia"/>
        </w:rPr>
        <w:t>また、他の業界</w:t>
      </w:r>
      <w:r w:rsidRPr="00753DCC">
        <w:rPr>
          <w:rFonts w:hint="eastAsia"/>
          <w:lang w:val="en-US"/>
        </w:rPr>
        <w:t>EDI</w:t>
      </w:r>
      <w:r w:rsidRPr="00753DCC">
        <w:rPr>
          <w:rFonts w:hint="eastAsia"/>
        </w:rPr>
        <w:t>の</w:t>
      </w:r>
      <w:r w:rsidR="00EB609C">
        <w:rPr>
          <w:rFonts w:hint="eastAsia"/>
        </w:rPr>
        <w:t>利用者</w:t>
      </w:r>
      <w:r w:rsidRPr="00753DCC">
        <w:rPr>
          <w:rFonts w:hint="eastAsia"/>
        </w:rPr>
        <w:t>も、</w:t>
      </w:r>
      <w:r w:rsidR="00ED2D71">
        <w:rPr>
          <w:rFonts w:hint="eastAsia"/>
          <w:lang w:val="en-US"/>
        </w:rPr>
        <w:t>OpenPeppol</w:t>
      </w:r>
      <w:r w:rsidRPr="00753DCC">
        <w:rPr>
          <w:rFonts w:hint="eastAsia"/>
        </w:rPr>
        <w:t>の</w:t>
      </w:r>
      <w:r w:rsidRPr="00753DCC">
        <w:rPr>
          <w:rFonts w:hint="eastAsia"/>
          <w:lang w:val="en-US"/>
        </w:rPr>
        <w:t>SMP</w:t>
      </w:r>
      <w:r w:rsidR="00ED2D71">
        <w:rPr>
          <w:rStyle w:val="a7"/>
          <w:lang w:val="en-US"/>
        </w:rPr>
        <w:footnoteReference w:id="1"/>
      </w:r>
      <w:r w:rsidRPr="00753DCC">
        <w:rPr>
          <w:rFonts w:hint="eastAsia"/>
        </w:rPr>
        <w:t>に登録していれば、このゲートウェイを経由して</w:t>
      </w:r>
      <w:r w:rsidR="00ED2D71">
        <w:rPr>
          <w:rFonts w:hint="eastAsia"/>
        </w:rPr>
        <w:t>電子請求書</w:t>
      </w:r>
      <w:r w:rsidRPr="00753DCC">
        <w:rPr>
          <w:rFonts w:hint="eastAsia"/>
        </w:rPr>
        <w:t>を送信することができます。</w:t>
      </w:r>
    </w:p>
    <w:p w14:paraId="64D5B6D8" w14:textId="75D460CB" w:rsidR="001D5024" w:rsidRPr="00753DCC" w:rsidRDefault="00753DCC" w:rsidP="00753DCC">
      <w:r w:rsidRPr="00753DCC">
        <w:rPr>
          <w:rFonts w:hint="eastAsia"/>
        </w:rPr>
        <w:t>業務システムで接続先ごとのデータ処理</w:t>
      </w:r>
      <w:r w:rsidR="00EB609C" w:rsidRPr="00753DCC">
        <w:rPr>
          <w:rFonts w:hint="eastAsia"/>
        </w:rPr>
        <w:t>インタフェース</w:t>
      </w:r>
      <w:r w:rsidRPr="00753DCC">
        <w:rPr>
          <w:rFonts w:hint="eastAsia"/>
        </w:rPr>
        <w:t>を運用している企業もあります。大手企業では、これに対応するために個別の調達ポータルを提供していることもありますが、その維持管理が大きな負担とな</w:t>
      </w:r>
      <w:r w:rsidR="00BD4211">
        <w:rPr>
          <w:rFonts w:hint="eastAsia"/>
        </w:rPr>
        <w:t>ってい</w:t>
      </w:r>
      <w:r w:rsidRPr="00753DCC">
        <w:rPr>
          <w:rFonts w:hint="eastAsia"/>
        </w:rPr>
        <w:t>ます。</w:t>
      </w:r>
    </w:p>
    <w:p w14:paraId="33C35052" w14:textId="73867EA3" w:rsidR="00753DCC" w:rsidRPr="00753DCC" w:rsidRDefault="00753DCC" w:rsidP="00753DCC">
      <w:r w:rsidRPr="00753DCC">
        <w:rPr>
          <w:rFonts w:hint="eastAsia"/>
        </w:rPr>
        <w:t>日本版</w:t>
      </w:r>
      <w:r w:rsidR="00ED2D71">
        <w:rPr>
          <w:rFonts w:hint="eastAsia"/>
        </w:rPr>
        <w:t>コアインボイス　ゲートウェイ</w:t>
      </w:r>
      <w:r w:rsidRPr="00753DCC">
        <w:rPr>
          <w:rFonts w:hint="eastAsia"/>
        </w:rPr>
        <w:t>で使用される標準データインタフェース</w:t>
      </w:r>
      <w:r w:rsidR="00EB609C">
        <w:rPr>
          <w:rFonts w:hint="eastAsia"/>
        </w:rPr>
        <w:t>は、</w:t>
      </w:r>
      <w:r w:rsidRPr="00753DCC">
        <w:rPr>
          <w:rFonts w:hint="eastAsia"/>
        </w:rPr>
        <w:t>社内システム</w:t>
      </w:r>
      <w:r w:rsidR="00EB609C">
        <w:rPr>
          <w:rFonts w:hint="eastAsia"/>
        </w:rPr>
        <w:t>と</w:t>
      </w:r>
      <w:r w:rsidRPr="00753DCC">
        <w:rPr>
          <w:rFonts w:hint="eastAsia"/>
        </w:rPr>
        <w:t>連携させるため</w:t>
      </w:r>
      <w:r w:rsidR="00EB609C">
        <w:rPr>
          <w:rFonts w:hint="eastAsia"/>
        </w:rPr>
        <w:t>に</w:t>
      </w:r>
      <w:r w:rsidRPr="00753DCC">
        <w:rPr>
          <w:rFonts w:hint="eastAsia"/>
        </w:rPr>
        <w:t>、アクセスポイントでの使用と同様、複数のインタフェースを組み合わせることが可能です。また、</w:t>
      </w:r>
      <w:r w:rsidRPr="00753DCC">
        <w:rPr>
          <w:rFonts w:hint="eastAsia"/>
          <w:lang w:val="en-US"/>
        </w:rPr>
        <w:t>CSV</w:t>
      </w:r>
      <w:r w:rsidRPr="00753DCC">
        <w:rPr>
          <w:rFonts w:hint="eastAsia"/>
        </w:rPr>
        <w:t>ファイル</w:t>
      </w:r>
      <w:r w:rsidR="00EB609C">
        <w:rPr>
          <w:rFonts w:hint="eastAsia"/>
        </w:rPr>
        <w:t>の</w:t>
      </w:r>
      <w:r w:rsidRPr="00753DCC">
        <w:rPr>
          <w:rFonts w:hint="eastAsia"/>
        </w:rPr>
        <w:t>構造や意味はタクソノミで定義されています。そのため、タクソノミの維持変更管理と連動させることで、システムの維持管理を自動化すること</w:t>
      </w:r>
      <w:r w:rsidR="00BD4211">
        <w:rPr>
          <w:rFonts w:hint="eastAsia"/>
        </w:rPr>
        <w:t>も</w:t>
      </w:r>
      <w:r w:rsidRPr="00753DCC">
        <w:rPr>
          <w:rFonts w:hint="eastAsia"/>
        </w:rPr>
        <w:t>できます。</w:t>
      </w:r>
    </w:p>
    <w:p w14:paraId="7522BC94" w14:textId="74266AD8" w:rsidR="00753DCC" w:rsidRPr="00753DCC" w:rsidRDefault="00ED2D71" w:rsidP="00172142">
      <w:pPr>
        <w:pStyle w:val="1"/>
      </w:pPr>
      <w:r>
        <w:rPr>
          <w:rFonts w:hint="eastAsia"/>
        </w:rPr>
        <w:t>電子請求書</w:t>
      </w:r>
      <w:r w:rsidR="00753DCC" w:rsidRPr="00EB609C">
        <w:rPr>
          <w:rFonts w:hint="eastAsia"/>
        </w:rPr>
        <w:t>を契機とする会計のデジタル化</w:t>
      </w:r>
      <w:r w:rsidR="00753DCC" w:rsidRPr="00753DCC">
        <w:rPr>
          <w:rFonts w:hint="eastAsia"/>
          <w:lang w:val="en-US"/>
        </w:rPr>
        <w:t> </w:t>
      </w:r>
    </w:p>
    <w:p w14:paraId="06E904DF" w14:textId="76426A79" w:rsidR="001D5024" w:rsidRPr="00753DCC" w:rsidRDefault="00E61A65" w:rsidP="00753DCC">
      <w:r>
        <w:rPr>
          <w:rFonts w:hint="eastAsia"/>
        </w:rPr>
        <w:t>電子請求書</w:t>
      </w:r>
      <w:r w:rsidR="00753DCC" w:rsidRPr="00753DCC">
        <w:rPr>
          <w:rFonts w:hint="eastAsia"/>
        </w:rPr>
        <w:t>は、会計のデジタル化において重要な役割を果たしています。国際標準化機構（</w:t>
      </w:r>
      <w:r w:rsidR="00753DCC" w:rsidRPr="00753DCC">
        <w:rPr>
          <w:rFonts w:hint="eastAsia"/>
          <w:lang w:val="en-US"/>
        </w:rPr>
        <w:t>ISO</w:t>
      </w:r>
      <w:r w:rsidR="00753DCC" w:rsidRPr="00753DCC">
        <w:rPr>
          <w:rFonts w:hint="eastAsia"/>
        </w:rPr>
        <w:t>）の</w:t>
      </w:r>
      <w:r w:rsidRPr="00753DCC">
        <w:rPr>
          <w:rFonts w:hint="eastAsia"/>
          <w:lang w:val="en-US"/>
        </w:rPr>
        <w:t>ISO/TC 295</w:t>
      </w:r>
      <w:r>
        <w:rPr>
          <w:rFonts w:hint="eastAsia"/>
          <w:lang w:val="en-US"/>
        </w:rPr>
        <w:t xml:space="preserve">　</w:t>
      </w:r>
      <w:r w:rsidR="00753DCC" w:rsidRPr="00753DCC">
        <w:rPr>
          <w:rFonts w:hint="eastAsia"/>
          <w:lang w:val="en-US"/>
        </w:rPr>
        <w:t>Audit data services</w:t>
      </w:r>
      <w:r w:rsidR="00753DCC" w:rsidRPr="00753DCC">
        <w:rPr>
          <w:rFonts w:hint="eastAsia"/>
        </w:rPr>
        <w:t>では、請求書や帳簿データ、商取引文書などの重要な会計監査対象データを標準化するための取り組みが行われています。私は</w:t>
      </w:r>
      <w:r w:rsidR="00753DCC" w:rsidRPr="00753DCC">
        <w:rPr>
          <w:rFonts w:hint="eastAsia"/>
          <w:lang w:val="en-US"/>
        </w:rPr>
        <w:t>ISO/TC 295</w:t>
      </w:r>
      <w:r w:rsidR="00753DCC" w:rsidRPr="00753DCC">
        <w:rPr>
          <w:rFonts w:hint="eastAsia"/>
        </w:rPr>
        <w:t>の</w:t>
      </w:r>
      <w:r w:rsidR="00753DCC" w:rsidRPr="00753DCC">
        <w:rPr>
          <w:rFonts w:hint="eastAsia"/>
          <w:lang w:val="en-US"/>
        </w:rPr>
        <w:t>Study group 1</w:t>
      </w:r>
      <w:r w:rsidR="00753DCC" w:rsidRPr="00753DCC">
        <w:rPr>
          <w:rFonts w:hint="eastAsia"/>
        </w:rPr>
        <w:t>（</w:t>
      </w:r>
      <w:r w:rsidR="00753DCC" w:rsidRPr="00753DCC">
        <w:rPr>
          <w:rFonts w:hint="eastAsia"/>
          <w:lang w:val="en-US"/>
        </w:rPr>
        <w:t>semantic model</w:t>
      </w:r>
      <w:r w:rsidR="00753DCC" w:rsidRPr="00753DCC">
        <w:rPr>
          <w:rFonts w:hint="eastAsia"/>
        </w:rPr>
        <w:t>）の</w:t>
      </w:r>
      <w:r w:rsidR="00753DCC" w:rsidRPr="00753DCC">
        <w:rPr>
          <w:rFonts w:hint="eastAsia"/>
          <w:lang w:val="en-US"/>
        </w:rPr>
        <w:t>Convener</w:t>
      </w:r>
      <w:r w:rsidR="00753DCC" w:rsidRPr="00753DCC">
        <w:rPr>
          <w:rFonts w:hint="eastAsia"/>
        </w:rPr>
        <w:t>を務めており、異なる業界や国の会計データを共通のデータ形式で表現するために、</w:t>
      </w:r>
      <w:r w:rsidR="00757BA3">
        <w:rPr>
          <w:rFonts w:hint="eastAsia"/>
        </w:rPr>
        <w:t>論理モデル</w:t>
      </w:r>
      <w:r w:rsidR="00753DCC" w:rsidRPr="00753DCC">
        <w:rPr>
          <w:rFonts w:hint="eastAsia"/>
        </w:rPr>
        <w:t>の定義に取り組んでいます。</w:t>
      </w:r>
    </w:p>
    <w:p w14:paraId="7A7D19E6" w14:textId="569A2AED" w:rsidR="00753DCC" w:rsidRPr="00753DCC" w:rsidRDefault="00753DCC" w:rsidP="00753DCC">
      <w:r w:rsidRPr="00753DCC">
        <w:rPr>
          <w:rFonts w:hint="eastAsia"/>
        </w:rPr>
        <w:t>これにより、会計データの標準化インタフェースを提供するために、標準データ形式を使用し、タクソノミを利用して会計のデジタル化</w:t>
      </w:r>
      <w:r w:rsidRPr="00753DCC">
        <w:rPr>
          <w:rFonts w:hint="eastAsia"/>
        </w:rPr>
        <w:lastRenderedPageBreak/>
        <w:t>を実現</w:t>
      </w:r>
      <w:r w:rsidR="00EB609C">
        <w:rPr>
          <w:rFonts w:hint="eastAsia"/>
        </w:rPr>
        <w:t>すべく草案作成中で</w:t>
      </w:r>
      <w:r w:rsidRPr="00753DCC">
        <w:rPr>
          <w:rFonts w:hint="eastAsia"/>
        </w:rPr>
        <w:t>す。</w:t>
      </w:r>
      <w:r w:rsidR="00EB609C">
        <w:rPr>
          <w:rFonts w:hint="eastAsia"/>
        </w:rPr>
        <w:t>なかでも</w:t>
      </w:r>
      <w:r w:rsidRPr="00753DCC">
        <w:rPr>
          <w:rFonts w:hint="eastAsia"/>
        </w:rPr>
        <w:t>、</w:t>
      </w:r>
      <w:r w:rsidR="00ED2D71">
        <w:rPr>
          <w:rFonts w:hint="eastAsia"/>
        </w:rPr>
        <w:t>電子請求書</w:t>
      </w:r>
      <w:r w:rsidRPr="00753DCC">
        <w:rPr>
          <w:rFonts w:hint="eastAsia"/>
        </w:rPr>
        <w:t>は、会計データの標準化に向けた重要な一歩となっています。</w:t>
      </w:r>
    </w:p>
    <w:p w14:paraId="36C27496" w14:textId="03637102" w:rsidR="00753DCC" w:rsidRPr="00753DCC" w:rsidRDefault="00753DCC" w:rsidP="00172142">
      <w:pPr>
        <w:pStyle w:val="1"/>
      </w:pPr>
      <w:r w:rsidRPr="00753DCC">
        <w:rPr>
          <w:rFonts w:hint="eastAsia"/>
        </w:rPr>
        <w:t>中小企業にとっての</w:t>
      </w:r>
      <w:r w:rsidR="00ED2D71">
        <w:rPr>
          <w:rFonts w:hint="eastAsia"/>
        </w:rPr>
        <w:t>コアインボイス　ゲートウェイ</w:t>
      </w:r>
      <w:r w:rsidRPr="00753DCC">
        <w:rPr>
          <w:rFonts w:hint="eastAsia"/>
        </w:rPr>
        <w:t>と構文バインディング</w:t>
      </w:r>
    </w:p>
    <w:p w14:paraId="4CDB2787" w14:textId="6962CD01" w:rsidR="00753DCC" w:rsidRPr="00753DCC" w:rsidRDefault="00ED2D71" w:rsidP="00753DCC">
      <w:r>
        <w:rPr>
          <w:rFonts w:hint="eastAsia"/>
        </w:rPr>
        <w:t>コアインボイス　ゲートウェイ</w:t>
      </w:r>
      <w:r w:rsidR="00753DCC" w:rsidRPr="00753DCC">
        <w:rPr>
          <w:rFonts w:hint="eastAsia"/>
        </w:rPr>
        <w:t>と構文バインディングは、中小企業にとって請求書の作成や取引先とのやりとりを効率化するために重要なツールです。</w:t>
      </w:r>
      <w:r>
        <w:rPr>
          <w:rFonts w:hint="eastAsia"/>
        </w:rPr>
        <w:t>コアインボイス　ゲートウェイ</w:t>
      </w:r>
      <w:r w:rsidR="00753DCC" w:rsidRPr="00753DCC">
        <w:rPr>
          <w:rFonts w:hint="eastAsia"/>
        </w:rPr>
        <w:t>は、異なる</w:t>
      </w:r>
      <w:r w:rsidR="00757BA3">
        <w:rPr>
          <w:rFonts w:hint="eastAsia"/>
        </w:rPr>
        <w:t>形式</w:t>
      </w:r>
      <w:r w:rsidR="00753DCC" w:rsidRPr="00753DCC">
        <w:rPr>
          <w:rFonts w:hint="eastAsia"/>
        </w:rPr>
        <w:t>の請求書を統一的に処理し、請求書の標準化を促進します。一方、構文バインディングは、データを自動的に抽出し、正確な情報を含んだ請求書を作成することで、請求書作成の手間やミスを削減し、業務の効率化を図ることができます。</w:t>
      </w:r>
    </w:p>
    <w:p w14:paraId="1E38198F" w14:textId="0C2D1340" w:rsidR="00753DCC" w:rsidRDefault="00753DCC" w:rsidP="00753DCC">
      <w:r w:rsidRPr="00753DCC">
        <w:rPr>
          <w:rFonts w:hint="eastAsia"/>
        </w:rPr>
        <w:t>さらに、会計データの標準化や共通の</w:t>
      </w:r>
      <w:r w:rsidRPr="00753DCC">
        <w:rPr>
          <w:rFonts w:hint="eastAsia"/>
          <w:lang w:val="en-US"/>
        </w:rPr>
        <w:t>CSV</w:t>
      </w:r>
      <w:r w:rsidRPr="00753DCC">
        <w:rPr>
          <w:rFonts w:hint="eastAsia"/>
        </w:rPr>
        <w:t>インタフェースの導入により、中小企業は取引先とのビジネス関係を改善することができます。共通のインタフェースを使用することで、データのやり取りがスムーズに行われ、取引先とのコミュニケーションも円滑になります。また、会計データの標準化により、会計処理の効率化や精度向上が期待できます。</w:t>
      </w:r>
      <w:r w:rsidR="001B2C97">
        <w:rPr>
          <w:rFonts w:hint="eastAsia"/>
        </w:rPr>
        <w:t>ここに示した図は、後述する北欧スマート政府のアーキテクチャを参考にしています。</w:t>
      </w:r>
    </w:p>
    <w:p w14:paraId="02D5CDBE" w14:textId="5BB78CBE" w:rsidR="00757BA3" w:rsidRPr="00753DCC" w:rsidRDefault="001D5024" w:rsidP="00753DCC">
      <w:r>
        <w:rPr>
          <w:rFonts w:hint="eastAsia"/>
          <w:noProof/>
          <w14:ligatures w14:val="standardContextual"/>
        </w:rPr>
        <w:drawing>
          <wp:inline distT="0" distB="0" distL="0" distR="0" wp14:anchorId="2B9F3F59" wp14:editId="77156757">
            <wp:extent cx="4288477" cy="2401717"/>
            <wp:effectExtent l="0" t="0" r="4445" b="0"/>
            <wp:docPr id="623913780"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13780" name="図 2" descr="ダイアグラム&#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6437" cy="2450978"/>
                    </a:xfrm>
                    <a:prstGeom prst="rect">
                      <a:avLst/>
                    </a:prstGeom>
                  </pic:spPr>
                </pic:pic>
              </a:graphicData>
            </a:graphic>
          </wp:inline>
        </w:drawing>
      </w:r>
    </w:p>
    <w:p w14:paraId="5326228E" w14:textId="4DB28367" w:rsidR="00753DCC" w:rsidRPr="00753DCC" w:rsidRDefault="00753DCC" w:rsidP="00753DCC">
      <w:r w:rsidRPr="00753DCC">
        <w:rPr>
          <w:rFonts w:hint="eastAsia"/>
        </w:rPr>
        <w:t>中小企業にとって、</w:t>
      </w:r>
      <w:r w:rsidR="00ED2D71">
        <w:rPr>
          <w:rFonts w:hint="eastAsia"/>
        </w:rPr>
        <w:t>コアインボイス　ゲートウェイ</w:t>
      </w:r>
      <w:r w:rsidRPr="00753DCC">
        <w:rPr>
          <w:rFonts w:hint="eastAsia"/>
        </w:rPr>
        <w:t>と構文バインディングの取り組みは大きなメリットがあります。効率的な業務処理やビジネス関係の改善により、企業の業績向上が期待できます。また、税理士は、会計データの標準化や共通インタフェースの導入に関するアドバイスや支援を提供することで、企業の経営に貢献することができます。税務申告や決算書作成に加えて、企業の業務プロセスの改善にも取り組むことで、より総合的なサポートを提供することができます。</w:t>
      </w:r>
    </w:p>
    <w:p w14:paraId="53EA07FC" w14:textId="32DED573" w:rsidR="00753DCC" w:rsidRPr="00753DCC" w:rsidRDefault="00753DCC" w:rsidP="00753DCC">
      <w:r w:rsidRPr="00753DCC">
        <w:rPr>
          <w:rFonts w:hint="eastAsia"/>
        </w:rPr>
        <w:t>中小企業は、リソースや予算に限りがある場合がありますが、</w:t>
      </w:r>
      <w:r w:rsidR="00ED2D71">
        <w:rPr>
          <w:rFonts w:hint="eastAsia"/>
        </w:rPr>
        <w:t>コアインボイス　ゲートウェイ</w:t>
      </w:r>
      <w:r w:rsidRPr="00753DCC">
        <w:rPr>
          <w:rFonts w:hint="eastAsia"/>
        </w:rPr>
        <w:t>や構文バインディングを活用することで、デジタル化のメリットを享受することができます。これらのツールや取り組みを活用することで、効率化、正確性の向上、ビジネス関</w:t>
      </w:r>
      <w:r w:rsidRPr="00753DCC">
        <w:rPr>
          <w:rFonts w:hint="eastAsia"/>
        </w:rPr>
        <w:lastRenderedPageBreak/>
        <w:t>係の改善など、中小企業の経営にプラスの影響をもたらすことが期待されます。</w:t>
      </w:r>
    </w:p>
    <w:p w14:paraId="66C7C0D2" w14:textId="5138A4D4" w:rsidR="00753DCC" w:rsidRDefault="00753DCC" w:rsidP="00753DCC">
      <w:pPr>
        <w:rPr>
          <w:lang w:val="en-US"/>
        </w:rPr>
      </w:pPr>
      <w:r w:rsidRPr="00753DCC">
        <w:rPr>
          <w:rFonts w:hint="eastAsia"/>
        </w:rPr>
        <w:t>中小企業の経営者や税理士は、</w:t>
      </w:r>
      <w:r w:rsidR="00ED2D71">
        <w:rPr>
          <w:rFonts w:hint="eastAsia"/>
        </w:rPr>
        <w:t>電子請求書</w:t>
      </w:r>
      <w:r w:rsidRPr="00753DCC">
        <w:rPr>
          <w:rFonts w:hint="eastAsia"/>
        </w:rPr>
        <w:t>やその他の関連技術の動向に注意を払いながら、自社の業務プロセスを見直し、効率化やデジタル化への取り組みを進めることが重要です。これにより、競争力の強化やビジネスの成長を実現することができるでしょう。</w:t>
      </w:r>
    </w:p>
    <w:p w14:paraId="020F22AD" w14:textId="253A751F" w:rsidR="009A1DCB" w:rsidRDefault="00E61A65" w:rsidP="00172142">
      <w:pPr>
        <w:pStyle w:val="1"/>
        <w:rPr>
          <w:lang w:val="en-US"/>
        </w:rPr>
      </w:pPr>
      <w:r>
        <w:rPr>
          <w:rFonts w:hint="eastAsia"/>
          <w:lang w:val="en-US"/>
        </w:rPr>
        <w:t>北欧</w:t>
      </w:r>
      <w:r w:rsidR="00B82E2A">
        <w:rPr>
          <w:rFonts w:hint="eastAsia"/>
          <w:lang w:val="en-US"/>
        </w:rPr>
        <w:t>スマート政府事例</w:t>
      </w:r>
    </w:p>
    <w:p w14:paraId="094093D3" w14:textId="3C0C4A39" w:rsidR="00E61A65" w:rsidRPr="00E61A65" w:rsidRDefault="001B2C97" w:rsidP="00E61A65">
      <w:pPr>
        <w:rPr>
          <w:lang w:val="en-US"/>
        </w:rPr>
      </w:pPr>
      <w:r w:rsidRPr="001B2C97">
        <w:rPr>
          <w:rFonts w:hint="eastAsia"/>
          <w:lang w:val="en-US"/>
        </w:rPr>
        <w:t>北欧スマート政府の参加国はデンマーク、スウェーデン、ノルウェー、フィンランド、アイスランドです。</w:t>
      </w:r>
      <w:r w:rsidR="00E61A65" w:rsidRPr="00E61A65">
        <w:rPr>
          <w:rFonts w:hint="eastAsia"/>
          <w:lang w:val="en-US"/>
        </w:rPr>
        <w:t>それぞれの国は、スマート政府の推進とデジタル化を重視しており、中小企業を支援するためのポータルサービスやデジタル手続きを提供しています。首相を中心とした政府のリーダーシップのもと、北欧諸国はデジタル社会の先進国として知られています。北欧スマート政府の参加国のうち、フィンランドの首相であるサンナ・マリンは女性です。彼女は</w:t>
      </w:r>
      <w:r w:rsidR="00E61A65" w:rsidRPr="00E61A65">
        <w:rPr>
          <w:lang w:val="en-US"/>
        </w:rPr>
        <w:t>20</w:t>
      </w:r>
      <w:r>
        <w:rPr>
          <w:lang w:val="en-US"/>
        </w:rPr>
        <w:t>19</w:t>
      </w:r>
      <w:r w:rsidR="00E61A65" w:rsidRPr="00E61A65">
        <w:rPr>
          <w:lang w:val="en-US"/>
        </w:rPr>
        <w:t>年12月からフィンランドの首相を務めており、国際的にも注目を集めています。また、メッテ・フレデリクセン（デンマーク）</w:t>
      </w:r>
      <w:r>
        <w:rPr>
          <w:rFonts w:hint="eastAsia"/>
          <w:lang w:val="en-US"/>
        </w:rPr>
        <w:t>も</w:t>
      </w:r>
      <w:r w:rsidR="00E61A65" w:rsidRPr="00E61A65">
        <w:rPr>
          <w:lang w:val="en-US"/>
        </w:rPr>
        <w:t>女性の首相</w:t>
      </w:r>
      <w:r>
        <w:rPr>
          <w:rFonts w:hint="eastAsia"/>
          <w:lang w:val="en-US"/>
        </w:rPr>
        <w:t>で</w:t>
      </w:r>
      <w:r w:rsidR="00E61A65" w:rsidRPr="00E61A65">
        <w:rPr>
          <w:lang w:val="en-US"/>
        </w:rPr>
        <w:t>す。北欧諸国は、ジェンダー平等と女性のリーダーシップを重視しており、女性が政治や経済のトップに就く機会を提供しています。</w:t>
      </w:r>
    </w:p>
    <w:p w14:paraId="1BECADEE" w14:textId="6CFB8C41" w:rsidR="00B82E2A" w:rsidRPr="00B82E2A" w:rsidRDefault="00B82E2A" w:rsidP="00B82E2A">
      <w:pPr>
        <w:rPr>
          <w:lang w:val="en-US"/>
        </w:rPr>
      </w:pPr>
      <w:r w:rsidRPr="00B82E2A">
        <w:rPr>
          <w:rFonts w:hint="eastAsia"/>
          <w:lang w:val="en-US"/>
        </w:rPr>
        <w:t>フィンランドでは、中小企業がスマート政府のポータルサービスを通じて会計処理や納税申告を含むさまざまな手続きを行うことができます。ポータル上で会計ソフトウェアにアクセスし、請求書や経費の入力、売上の管理などを行うことができます。また、納税申告もオンラインで行え、税金の支払いもポータル上で行うことができ</w:t>
      </w:r>
      <w:r w:rsidRPr="00B82E2A">
        <w:rPr>
          <w:rFonts w:hint="eastAsia"/>
          <w:lang w:val="en-US"/>
        </w:rPr>
        <w:t>ます。これにより、中小企業は煩雑な紙ベースの手続きを省略し、効率的な会計処理と納税申告を行うことができます。</w:t>
      </w:r>
    </w:p>
    <w:p w14:paraId="7924A70A" w14:textId="77777777" w:rsidR="00B82E2A" w:rsidRPr="00B82E2A" w:rsidRDefault="00B82E2A" w:rsidP="00B82E2A">
      <w:pPr>
        <w:rPr>
          <w:lang w:val="en-US"/>
        </w:rPr>
      </w:pPr>
      <w:r w:rsidRPr="00B82E2A">
        <w:rPr>
          <w:rFonts w:hint="eastAsia"/>
          <w:lang w:val="en-US"/>
        </w:rPr>
        <w:t>フィンランドのスマート政府ポータルサービスの</w:t>
      </w:r>
      <w:r w:rsidRPr="00B82E2A">
        <w:rPr>
          <w:lang w:val="en-US"/>
        </w:rPr>
        <w:t>URLは、https://www.suomi.fi/ です。このポータルサービスでは、中小企業が税務申告や会計処理、ビジネス登記などのさまざまな公的な手続きをオンラインで行うことができます。また、政府からの情報やサービスにアクセスすることも可能です。このポータルサービスを利用することで、中小企業は手続きの簡素化と効率化を実現し、ビジネスの運営をスムーズに進めることができます。</w:t>
      </w:r>
    </w:p>
    <w:p w14:paraId="1D3C35F4" w14:textId="3C607D17" w:rsidR="00B82E2A" w:rsidRPr="009A1DCB" w:rsidRDefault="00B82E2A" w:rsidP="00B82E2A">
      <w:pPr>
        <w:rPr>
          <w:lang w:val="en-US"/>
        </w:rPr>
      </w:pPr>
      <w:r w:rsidRPr="00B82E2A">
        <w:rPr>
          <w:rFonts w:hint="eastAsia"/>
          <w:lang w:val="en-US"/>
        </w:rPr>
        <w:t>フィンランドの納税申告に関する詳細な情報やオンライン提出のための</w:t>
      </w:r>
      <w:r w:rsidRPr="00B82E2A">
        <w:rPr>
          <w:lang w:val="en-US"/>
        </w:rPr>
        <w:t>URLは、https://www.vero.fi/ をご参照ください。こちらのウェブサイトでは、中小企業が必要な納税申告書類や手続きに関する情報を入手することができます。また、オンラインでの納税申告や支払い手続きも行うことができます。</w:t>
      </w:r>
    </w:p>
    <w:p w14:paraId="054FD300" w14:textId="1FD6A7BE" w:rsidR="00EB609C" w:rsidRPr="00753DCC" w:rsidRDefault="00EB609C" w:rsidP="00EB609C">
      <w:pPr>
        <w:jc w:val="right"/>
      </w:pPr>
      <w:r>
        <w:rPr>
          <w:rFonts w:hint="eastAsia"/>
        </w:rPr>
        <w:t>■</w:t>
      </w:r>
    </w:p>
    <w:p w14:paraId="305E617F" w14:textId="77777777" w:rsidR="00375D46" w:rsidRDefault="00375D46" w:rsidP="00753DCC"/>
    <w:sectPr w:rsidR="00375D46" w:rsidSect="00172142">
      <w:pgSz w:w="16838" w:h="11906" w:orient="landscape"/>
      <w:pgMar w:top="1985" w:right="1701" w:bottom="1701" w:left="1701"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87D9D" w14:textId="77777777" w:rsidR="008B50DC" w:rsidRDefault="008B50DC" w:rsidP="00ED2D71">
      <w:pPr>
        <w:spacing w:before="0"/>
      </w:pPr>
      <w:r>
        <w:separator/>
      </w:r>
    </w:p>
  </w:endnote>
  <w:endnote w:type="continuationSeparator" w:id="0">
    <w:p w14:paraId="3385B9D7" w14:textId="77777777" w:rsidR="008B50DC" w:rsidRDefault="008B50DC" w:rsidP="00ED2D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B913" w14:textId="77777777" w:rsidR="008B50DC" w:rsidRDefault="008B50DC" w:rsidP="00ED2D71">
      <w:pPr>
        <w:spacing w:before="0"/>
      </w:pPr>
      <w:r>
        <w:separator/>
      </w:r>
    </w:p>
  </w:footnote>
  <w:footnote w:type="continuationSeparator" w:id="0">
    <w:p w14:paraId="217BED1B" w14:textId="77777777" w:rsidR="008B50DC" w:rsidRDefault="008B50DC" w:rsidP="00ED2D71">
      <w:pPr>
        <w:spacing w:before="0"/>
      </w:pPr>
      <w:r>
        <w:continuationSeparator/>
      </w:r>
    </w:p>
  </w:footnote>
  <w:footnote w:id="1">
    <w:p w14:paraId="71826F3C" w14:textId="71D53DA4" w:rsidR="00ED2D71" w:rsidRDefault="00ED2D71">
      <w:pPr>
        <w:pStyle w:val="a5"/>
      </w:pPr>
      <w:r>
        <w:rPr>
          <w:rStyle w:val="a7"/>
        </w:rPr>
        <w:footnoteRef/>
      </w:r>
      <w:r>
        <w:t xml:space="preserve"> </w:t>
      </w:r>
      <w:r w:rsidR="00757BA3" w:rsidRPr="00757BA3">
        <w:t>OpenPeppolのSMP（Service Metadata Publisher）は、OpenPeppolネットワーク内の参加者情報を管理し、デジタルトランザクションの相互運用性を実現するための中央レジストリです。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CC"/>
    <w:rsid w:val="00042118"/>
    <w:rsid w:val="000C0D80"/>
    <w:rsid w:val="00172142"/>
    <w:rsid w:val="00195187"/>
    <w:rsid w:val="001B2C97"/>
    <w:rsid w:val="001D5024"/>
    <w:rsid w:val="002454AE"/>
    <w:rsid w:val="00370AEF"/>
    <w:rsid w:val="00375D46"/>
    <w:rsid w:val="00473500"/>
    <w:rsid w:val="005126F7"/>
    <w:rsid w:val="006576DB"/>
    <w:rsid w:val="006750F7"/>
    <w:rsid w:val="006A2370"/>
    <w:rsid w:val="0071132B"/>
    <w:rsid w:val="00753DCC"/>
    <w:rsid w:val="00757BA3"/>
    <w:rsid w:val="007D4665"/>
    <w:rsid w:val="00804ABD"/>
    <w:rsid w:val="00806EC7"/>
    <w:rsid w:val="008B50DC"/>
    <w:rsid w:val="00900A2B"/>
    <w:rsid w:val="009A1DCB"/>
    <w:rsid w:val="00B77915"/>
    <w:rsid w:val="00B82E2A"/>
    <w:rsid w:val="00BD4211"/>
    <w:rsid w:val="00C2261B"/>
    <w:rsid w:val="00C64DB0"/>
    <w:rsid w:val="00C7367F"/>
    <w:rsid w:val="00CF5B6C"/>
    <w:rsid w:val="00E61A65"/>
    <w:rsid w:val="00EB609C"/>
    <w:rsid w:val="00ED2D71"/>
    <w:rsid w:val="00F940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F2B95B"/>
  <w15:chartTrackingRefBased/>
  <w15:docId w15:val="{1A51ECCF-1571-47C4-8312-8EB3A7D5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DCC"/>
    <w:pPr>
      <w:spacing w:before="120" w:after="0" w:line="240" w:lineRule="auto"/>
      <w:jc w:val="both"/>
    </w:pPr>
    <w:rPr>
      <w:rFonts w:ascii="游明朝" w:eastAsia="游明朝" w:hAnsi="游明朝" w:cs="Times New Roman"/>
      <w:color w:val="000000"/>
      <w:kern w:val="0"/>
      <w:sz w:val="21"/>
      <w:szCs w:val="21"/>
      <w14:ligatures w14:val="none"/>
    </w:rPr>
  </w:style>
  <w:style w:type="paragraph" w:styleId="1">
    <w:name w:val="heading 1"/>
    <w:basedOn w:val="a"/>
    <w:link w:val="10"/>
    <w:uiPriority w:val="9"/>
    <w:qFormat/>
    <w:rsid w:val="00172142"/>
    <w:pPr>
      <w:spacing w:after="58"/>
      <w:jc w:val="left"/>
      <w:outlineLvl w:val="0"/>
    </w:pPr>
    <w:rPr>
      <w:rFonts w:ascii="Times New Roman" w:eastAsiaTheme="minorHAnsi" w:hAnsi="Times New Roman"/>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72142"/>
    <w:rPr>
      <w:rFonts w:ascii="Times New Roman" w:eastAsiaTheme="minorHAnsi" w:hAnsi="Times New Roman" w:cs="Times New Roman"/>
      <w:b/>
      <w:bCs/>
      <w:color w:val="000000"/>
      <w:kern w:val="36"/>
      <w:sz w:val="24"/>
      <w:szCs w:val="24"/>
      <w14:ligatures w14:val="none"/>
    </w:rPr>
  </w:style>
  <w:style w:type="paragraph" w:styleId="a3">
    <w:name w:val="Title"/>
    <w:basedOn w:val="1"/>
    <w:next w:val="a"/>
    <w:link w:val="a4"/>
    <w:uiPriority w:val="10"/>
    <w:qFormat/>
    <w:rsid w:val="00172142"/>
    <w:rPr>
      <w:sz w:val="32"/>
      <w:szCs w:val="32"/>
    </w:rPr>
  </w:style>
  <w:style w:type="character" w:customStyle="1" w:styleId="a4">
    <w:name w:val="表題 (文字)"/>
    <w:basedOn w:val="a0"/>
    <w:link w:val="a3"/>
    <w:uiPriority w:val="10"/>
    <w:rsid w:val="00172142"/>
    <w:rPr>
      <w:rFonts w:ascii="Times New Roman" w:eastAsiaTheme="minorHAnsi" w:hAnsi="Times New Roman" w:cs="Times New Roman"/>
      <w:b/>
      <w:bCs/>
      <w:color w:val="000000"/>
      <w:kern w:val="36"/>
      <w:sz w:val="32"/>
      <w:szCs w:val="32"/>
      <w14:ligatures w14:val="none"/>
    </w:rPr>
  </w:style>
  <w:style w:type="paragraph" w:styleId="a5">
    <w:name w:val="footnote text"/>
    <w:basedOn w:val="a"/>
    <w:link w:val="a6"/>
    <w:uiPriority w:val="99"/>
    <w:semiHidden/>
    <w:unhideWhenUsed/>
    <w:rsid w:val="00ED2D71"/>
    <w:pPr>
      <w:snapToGrid w:val="0"/>
      <w:jc w:val="left"/>
    </w:pPr>
  </w:style>
  <w:style w:type="character" w:customStyle="1" w:styleId="a6">
    <w:name w:val="脚注文字列 (文字)"/>
    <w:basedOn w:val="a0"/>
    <w:link w:val="a5"/>
    <w:uiPriority w:val="99"/>
    <w:semiHidden/>
    <w:rsid w:val="00ED2D71"/>
    <w:rPr>
      <w:rFonts w:ascii="游明朝" w:eastAsia="游明朝" w:hAnsi="游明朝" w:cs="Times New Roman"/>
      <w:color w:val="000000"/>
      <w:kern w:val="0"/>
      <w:sz w:val="21"/>
      <w:szCs w:val="21"/>
      <w14:ligatures w14:val="none"/>
    </w:rPr>
  </w:style>
  <w:style w:type="character" w:styleId="a7">
    <w:name w:val="footnote reference"/>
    <w:basedOn w:val="a0"/>
    <w:uiPriority w:val="99"/>
    <w:semiHidden/>
    <w:unhideWhenUsed/>
    <w:rsid w:val="00ED2D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4451">
      <w:bodyDiv w:val="1"/>
      <w:marLeft w:val="0"/>
      <w:marRight w:val="0"/>
      <w:marTop w:val="0"/>
      <w:marBottom w:val="0"/>
      <w:divBdr>
        <w:top w:val="none" w:sz="0" w:space="0" w:color="auto"/>
        <w:left w:val="none" w:sz="0" w:space="0" w:color="auto"/>
        <w:bottom w:val="none" w:sz="0" w:space="0" w:color="auto"/>
        <w:right w:val="none" w:sz="0" w:space="0" w:color="auto"/>
      </w:divBdr>
      <w:divsChild>
        <w:div w:id="223024728">
          <w:marLeft w:val="0"/>
          <w:marRight w:val="0"/>
          <w:marTop w:val="0"/>
          <w:marBottom w:val="0"/>
          <w:divBdr>
            <w:top w:val="none" w:sz="0" w:space="0" w:color="auto"/>
            <w:left w:val="none" w:sz="0" w:space="0" w:color="auto"/>
            <w:bottom w:val="none" w:sz="0" w:space="0" w:color="auto"/>
            <w:right w:val="none" w:sz="0" w:space="0" w:color="auto"/>
          </w:divBdr>
        </w:div>
        <w:div w:id="1306425469">
          <w:marLeft w:val="0"/>
          <w:marRight w:val="0"/>
          <w:marTop w:val="0"/>
          <w:marBottom w:val="0"/>
          <w:divBdr>
            <w:top w:val="none" w:sz="0" w:space="0" w:color="auto"/>
            <w:left w:val="none" w:sz="0" w:space="0" w:color="auto"/>
            <w:bottom w:val="none" w:sz="0" w:space="0" w:color="auto"/>
            <w:right w:val="none" w:sz="0" w:space="0" w:color="auto"/>
          </w:divBdr>
        </w:div>
        <w:div w:id="1875655976">
          <w:marLeft w:val="0"/>
          <w:marRight w:val="0"/>
          <w:marTop w:val="0"/>
          <w:marBottom w:val="0"/>
          <w:divBdr>
            <w:top w:val="none" w:sz="0" w:space="0" w:color="auto"/>
            <w:left w:val="none" w:sz="0" w:space="0" w:color="auto"/>
            <w:bottom w:val="none" w:sz="0" w:space="0" w:color="auto"/>
            <w:right w:val="none" w:sz="0" w:space="0" w:color="auto"/>
          </w:divBdr>
        </w:div>
      </w:divsChild>
    </w:div>
    <w:div w:id="1279219885">
      <w:bodyDiv w:val="1"/>
      <w:marLeft w:val="0"/>
      <w:marRight w:val="0"/>
      <w:marTop w:val="0"/>
      <w:marBottom w:val="0"/>
      <w:divBdr>
        <w:top w:val="none" w:sz="0" w:space="0" w:color="auto"/>
        <w:left w:val="none" w:sz="0" w:space="0" w:color="auto"/>
        <w:bottom w:val="none" w:sz="0" w:space="0" w:color="auto"/>
        <w:right w:val="none" w:sz="0" w:space="0" w:color="auto"/>
      </w:divBdr>
    </w:div>
    <w:div w:id="19359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E050-18DD-0C41-BD60-C9A9B8DC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434</Words>
  <Characters>2474</Characters>
  <Application>Microsoft Office Word</Application>
  <DocSecurity>0</DocSecurity>
  <Lines>20</Lines>
  <Paragraphs>5</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中小企業のデジタル化を推進するためのコアインボイス活用</vt:lpstr>
      <vt:lpstr>JP PINTは万能薬か</vt:lpstr>
      <vt:lpstr>貨物船コンテナの積み替え作業に例えると</vt:lpstr>
      <vt:lpstr>構文バインディング</vt:lpstr>
      <vt:lpstr>欧州規格の異種構文間バインディング</vt:lpstr>
      <vt:lpstr>日本版コアインボイスゲートウェイ</vt:lpstr>
      <vt:lpstr>デジタルインボイスを契機とする会計のデジタル化 </vt:lpstr>
      <vt:lpstr>中小企業にとってのコアインボイスゲートウェイと構文バインディング</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信之 三分一</cp:lastModifiedBy>
  <cp:revision>7</cp:revision>
  <dcterms:created xsi:type="dcterms:W3CDTF">2023-05-13T11:07:00Z</dcterms:created>
  <dcterms:modified xsi:type="dcterms:W3CDTF">2023-05-13T12:28:00Z</dcterms:modified>
</cp:coreProperties>
</file>