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D944" w14:textId="77777777" w:rsidR="00F25BFB" w:rsidRPr="00ED65A3" w:rsidRDefault="00F25BFB" w:rsidP="00F67974">
      <w:pPr>
        <w:pStyle w:val="a3"/>
      </w:pPr>
      <w:r w:rsidRPr="00ED65A3">
        <w:rPr>
          <w:rFonts w:hint="eastAsia"/>
        </w:rPr>
        <w:t>中小企業のデジタル化を推進するためのコアインボイス活用</w:t>
      </w:r>
      <w:r w:rsidRPr="00ED65A3">
        <w:rPr>
          <w:rFonts w:hint="eastAsia"/>
        </w:rPr>
        <w:t>(</w:t>
      </w:r>
      <w:r w:rsidRPr="00ED65A3">
        <w:rPr>
          <w:rFonts w:hint="eastAsia"/>
        </w:rPr>
        <w:t>前編</w:t>
      </w:r>
      <w:r w:rsidRPr="00ED65A3">
        <w:t>)</w:t>
      </w:r>
    </w:p>
    <w:p w14:paraId="4DEDEF5A" w14:textId="2B642DEF" w:rsidR="00F25BFB" w:rsidRDefault="00F25BFB" w:rsidP="00F25BFB">
      <w:pPr>
        <w:spacing w:before="0"/>
        <w:jc w:val="right"/>
        <w:rPr>
          <w:lang w:eastAsia="zh-TW"/>
        </w:rPr>
      </w:pPr>
      <w:r>
        <w:rPr>
          <w:rFonts w:hint="eastAsia"/>
          <w:lang w:eastAsia="zh-TW"/>
        </w:rPr>
        <w:t>三分一信之</w:t>
      </w:r>
    </w:p>
    <w:p w14:paraId="3C042DE1" w14:textId="60D306D0" w:rsidR="00F25BFB" w:rsidRPr="008E3354" w:rsidRDefault="00F25BFB" w:rsidP="00F25BFB">
      <w:pPr>
        <w:spacing w:before="0"/>
        <w:jc w:val="right"/>
        <w:rPr>
          <w:sz w:val="18"/>
          <w:szCs w:val="18"/>
          <w:lang w:eastAsia="zh-TW"/>
        </w:rPr>
      </w:pPr>
      <w:r w:rsidRPr="008E3354">
        <w:rPr>
          <w:rFonts w:hint="eastAsia"/>
          <w:sz w:val="18"/>
          <w:szCs w:val="18"/>
          <w:lang w:eastAsia="zh-TW"/>
        </w:rPr>
        <w:t>三分一技術士事務所所長</w:t>
      </w:r>
    </w:p>
    <w:p w14:paraId="0760F6F2" w14:textId="7A6C874D" w:rsidR="00F25BFB" w:rsidRPr="008E3354" w:rsidRDefault="00F25BFB" w:rsidP="00F25BFB">
      <w:pPr>
        <w:spacing w:before="0"/>
        <w:jc w:val="right"/>
        <w:rPr>
          <w:sz w:val="20"/>
          <w:szCs w:val="20"/>
        </w:rPr>
      </w:pPr>
      <w:r w:rsidRPr="008E3354">
        <w:rPr>
          <w:sz w:val="18"/>
          <w:szCs w:val="18"/>
        </w:rPr>
        <w:t>ISO/TC 295</w:t>
      </w:r>
      <w:r w:rsidR="004904CC" w:rsidRPr="008E3354">
        <w:rPr>
          <w:sz w:val="18"/>
          <w:szCs w:val="18"/>
        </w:rPr>
        <w:t xml:space="preserve"> Audit data services </w:t>
      </w:r>
      <w:r w:rsidRPr="008E3354">
        <w:rPr>
          <w:sz w:val="18"/>
          <w:szCs w:val="18"/>
        </w:rPr>
        <w:t>/SG 1</w:t>
      </w:r>
      <w:r w:rsidR="00ED65A3" w:rsidRPr="008E3354">
        <w:rPr>
          <w:rFonts w:hint="eastAsia"/>
          <w:sz w:val="18"/>
          <w:szCs w:val="18"/>
        </w:rPr>
        <w:t xml:space="preserve"> </w:t>
      </w:r>
      <w:r w:rsidRPr="008E3354">
        <w:rPr>
          <w:sz w:val="18"/>
          <w:szCs w:val="18"/>
        </w:rPr>
        <w:t>Convener</w:t>
      </w:r>
    </w:p>
    <w:p w14:paraId="2DEE4C1A" w14:textId="38E473ED" w:rsidR="00F25BFB" w:rsidRPr="00ED65A3" w:rsidRDefault="00F25BFB" w:rsidP="00ED65A3">
      <w:pPr>
        <w:pStyle w:val="1"/>
      </w:pPr>
      <w:r w:rsidRPr="00ED65A3">
        <w:t>JP PINT</w:t>
      </w:r>
      <w:r w:rsidRPr="00ED65A3">
        <w:t>は</w:t>
      </w:r>
      <w:r w:rsidRPr="00ED65A3">
        <w:rPr>
          <w:rFonts w:hint="eastAsia"/>
        </w:rPr>
        <w:t>万能薬か</w:t>
      </w:r>
    </w:p>
    <w:p w14:paraId="29EA3F0A" w14:textId="7EDC8ADF" w:rsidR="00F25BFB" w:rsidRPr="00A530CD" w:rsidRDefault="00F25BFB" w:rsidP="00F25BFB">
      <w:pPr>
        <w:rPr>
          <w:sz w:val="20"/>
          <w:szCs w:val="20"/>
        </w:rPr>
      </w:pPr>
      <w:r w:rsidRPr="00A530CD">
        <w:rPr>
          <w:rFonts w:hint="eastAsia"/>
          <w:sz w:val="20"/>
          <w:szCs w:val="20"/>
        </w:rPr>
        <w:t>電子請求書の普及によって、会計データの標準化や、経営に役立つ情報の共有が促進されることも期待されています。これは、税理士や企業が効率的に会計処理や税務申告を行うための重要なステップです。データの一元管理が可能となり、データ入力のミスを減らしたり、情報の検索や分析が容易になったりします。これにより、経営の効率化やコスト削減が実現できます。</w:t>
      </w:r>
    </w:p>
    <w:p w14:paraId="1A8121F3" w14:textId="1A7362ED" w:rsidR="00F25BFB" w:rsidRPr="00753DCC" w:rsidRDefault="00F25BFB" w:rsidP="00F25BFB">
      <w:r>
        <w:rPr>
          <w:rFonts w:hint="eastAsia"/>
        </w:rPr>
        <w:t>令和２年１２月、</w:t>
      </w:r>
      <w:r w:rsidRPr="00753DCC">
        <w:rPr>
          <w:rFonts w:hint="eastAsia"/>
        </w:rPr>
        <w:t>内閣官房</w:t>
      </w:r>
      <w:r w:rsidRPr="00753DCC">
        <w:rPr>
          <w:rFonts w:hint="eastAsia"/>
          <w:lang w:val="en-US"/>
        </w:rPr>
        <w:t>IT</w:t>
      </w:r>
      <w:r w:rsidRPr="00753DCC">
        <w:rPr>
          <w:rFonts w:hint="eastAsia"/>
        </w:rPr>
        <w:t>総合戦略室は、日本における電子インボイスの仕様を標準化するために、国際的な電子商取引ネットワークの標準、</w:t>
      </w:r>
      <w:r w:rsidR="000F5A0B">
        <w:rPr>
          <w:rFonts w:hint="eastAsia"/>
          <w:lang w:val="en-US"/>
        </w:rPr>
        <w:t>Peppol</w:t>
      </w:r>
      <w:r w:rsidRPr="00753DCC">
        <w:rPr>
          <w:rFonts w:hint="eastAsia"/>
        </w:rPr>
        <w:t>を基盤にすることを発表しました。これにより、日本の</w:t>
      </w:r>
      <w:r w:rsidR="000F5A0B">
        <w:rPr>
          <w:rFonts w:hint="eastAsia"/>
        </w:rPr>
        <w:t>Peppol</w:t>
      </w:r>
      <w:r w:rsidRPr="00753DCC">
        <w:rPr>
          <w:rFonts w:hint="eastAsia"/>
        </w:rPr>
        <w:t>（</w:t>
      </w:r>
      <w:r w:rsidRPr="00753DCC">
        <w:rPr>
          <w:rFonts w:hint="eastAsia"/>
          <w:lang w:val="en-US"/>
        </w:rPr>
        <w:t>JP PINT</w:t>
      </w:r>
      <w:r w:rsidRPr="00753DCC">
        <w:rPr>
          <w:rFonts w:hint="eastAsia"/>
        </w:rPr>
        <w:t>）</w:t>
      </w:r>
      <w:r w:rsidR="00E26E67">
        <w:rPr>
          <w:rStyle w:val="ac"/>
        </w:rPr>
        <w:endnoteReference w:id="1"/>
      </w:r>
      <w:r w:rsidRPr="00753DCC">
        <w:rPr>
          <w:rFonts w:hint="eastAsia"/>
        </w:rPr>
        <w:t>が生まれ、その運用を監督する機関</w:t>
      </w:r>
      <w:r w:rsidR="00602049">
        <w:rPr>
          <w:rFonts w:hint="eastAsia"/>
        </w:rPr>
        <w:t>（</w:t>
      </w:r>
      <w:r w:rsidR="00602049" w:rsidRPr="00805030">
        <w:t>Peppol Authority</w:t>
      </w:r>
      <w:r w:rsidR="00602049" w:rsidRPr="00805030">
        <w:rPr>
          <w:rFonts w:hint="eastAsia"/>
        </w:rPr>
        <w:t>）</w:t>
      </w:r>
      <w:r w:rsidRPr="00753DCC">
        <w:rPr>
          <w:rFonts w:hint="eastAsia"/>
        </w:rPr>
        <w:t>が</w:t>
      </w:r>
      <w:r w:rsidR="003671FB">
        <w:rPr>
          <w:rFonts w:hint="eastAsia"/>
        </w:rPr>
        <w:t>デジタル庁に</w:t>
      </w:r>
      <w:r w:rsidRPr="00753DCC">
        <w:rPr>
          <w:rFonts w:hint="eastAsia"/>
        </w:rPr>
        <w:t>整備されました。</w:t>
      </w:r>
    </w:p>
    <w:p w14:paraId="67002D68" w14:textId="5B60F750" w:rsidR="00F25BFB" w:rsidRPr="00753DCC" w:rsidRDefault="00F25BFB" w:rsidP="00F25BFB">
      <w:r w:rsidRPr="00753DCC">
        <w:rPr>
          <w:rFonts w:hint="eastAsia"/>
        </w:rPr>
        <w:t>ただし、</w:t>
      </w:r>
      <w:r>
        <w:rPr>
          <w:rFonts w:hint="eastAsia"/>
        </w:rPr>
        <w:t>各種の電子請求書を相互連携させるには、</w:t>
      </w:r>
      <w:r w:rsidRPr="00753DCC">
        <w:rPr>
          <w:rFonts w:hint="eastAsia"/>
        </w:rPr>
        <w:t>電子データ交換（</w:t>
      </w:r>
      <w:r w:rsidRPr="00753DCC">
        <w:rPr>
          <w:rFonts w:hint="eastAsia"/>
          <w:lang w:val="en-US"/>
        </w:rPr>
        <w:t>EDI</w:t>
      </w:r>
      <w:r w:rsidRPr="00753DCC">
        <w:rPr>
          <w:rFonts w:hint="eastAsia"/>
        </w:rPr>
        <w:t>）を含む全ての請求データをやり取りする「日本版コアインボイスモデル</w:t>
      </w:r>
      <w:r>
        <w:rPr>
          <w:rStyle w:val="ac"/>
        </w:rPr>
        <w:endnoteReference w:id="2"/>
      </w:r>
      <w:r w:rsidRPr="00753DCC">
        <w:rPr>
          <w:rFonts w:hint="eastAsia"/>
        </w:rPr>
        <w:t>」が必要です。そして、そのモデルと</w:t>
      </w:r>
      <w:r w:rsidRPr="00753DCC">
        <w:rPr>
          <w:rFonts w:hint="eastAsia"/>
          <w:lang w:val="en-US"/>
        </w:rPr>
        <w:t>EDI</w:t>
      </w:r>
      <w:r w:rsidRPr="00753DCC">
        <w:rPr>
          <w:rFonts w:hint="eastAsia"/>
        </w:rPr>
        <w:t>の構文を組み合わせ</w:t>
      </w:r>
      <w:r>
        <w:rPr>
          <w:rFonts w:hint="eastAsia"/>
        </w:rPr>
        <w:t>た</w:t>
      </w:r>
      <w:r w:rsidRPr="00753DCC">
        <w:rPr>
          <w:rFonts w:hint="eastAsia"/>
        </w:rPr>
        <w:t>「</w:t>
      </w:r>
      <w:r>
        <w:rPr>
          <w:rFonts w:hint="eastAsia"/>
        </w:rPr>
        <w:t>コアインボイス　ゲートウェイ</w:t>
      </w:r>
      <w:r w:rsidRPr="00753DCC">
        <w:rPr>
          <w:rFonts w:hint="eastAsia"/>
        </w:rPr>
        <w:t>」</w:t>
      </w:r>
      <w:r>
        <w:rPr>
          <w:rFonts w:hint="eastAsia"/>
        </w:rPr>
        <w:t>で</w:t>
      </w:r>
      <w:r w:rsidRPr="00753DCC">
        <w:rPr>
          <w:rFonts w:hint="eastAsia"/>
          <w:lang w:val="en-US"/>
        </w:rPr>
        <w:t>EDI</w:t>
      </w:r>
      <w:r w:rsidRPr="00753DCC">
        <w:rPr>
          <w:rFonts w:hint="eastAsia"/>
        </w:rPr>
        <w:t>と</w:t>
      </w:r>
      <w:r>
        <w:rPr>
          <w:rFonts w:hint="eastAsia"/>
        </w:rPr>
        <w:t>電子請求書</w:t>
      </w:r>
      <w:r w:rsidRPr="00753DCC">
        <w:rPr>
          <w:rFonts w:hint="eastAsia"/>
        </w:rPr>
        <w:t>を接続することが可能になります。</w:t>
      </w:r>
    </w:p>
    <w:p w14:paraId="0CDAEF96" w14:textId="5E21D851" w:rsidR="00F25BFB" w:rsidRDefault="004E0771" w:rsidP="00F25BFB">
      <w:r>
        <w:rPr>
          <w:rFonts w:hint="eastAsia"/>
          <w:noProof/>
        </w:rPr>
        <w:drawing>
          <wp:anchor distT="0" distB="0" distL="114300" distR="114300" simplePos="0" relativeHeight="251663872" behindDoc="0" locked="0" layoutInCell="1" allowOverlap="1" wp14:anchorId="70010E81" wp14:editId="363FC902">
            <wp:simplePos x="0" y="0"/>
            <wp:positionH relativeFrom="column">
              <wp:posOffset>-30040</wp:posOffset>
            </wp:positionH>
            <wp:positionV relativeFrom="paragraph">
              <wp:posOffset>1220079</wp:posOffset>
            </wp:positionV>
            <wp:extent cx="6229350" cy="2372995"/>
            <wp:effectExtent l="0" t="0" r="0" b="0"/>
            <wp:wrapTopAndBottom/>
            <wp:docPr id="1450631694" name="図 1" descr="ゲーム画面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31694" name="図 1" descr="ゲーム画面のスクリーンショット&#10;&#10;中程度の精度で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29350" cy="2372995"/>
                    </a:xfrm>
                    <a:prstGeom prst="rect">
                      <a:avLst/>
                    </a:prstGeom>
                  </pic:spPr>
                </pic:pic>
              </a:graphicData>
            </a:graphic>
            <wp14:sizeRelH relativeFrom="page">
              <wp14:pctWidth>0</wp14:pctWidth>
            </wp14:sizeRelH>
            <wp14:sizeRelV relativeFrom="page">
              <wp14:pctHeight>0</wp14:pctHeight>
            </wp14:sizeRelV>
          </wp:anchor>
        </w:drawing>
      </w:r>
      <w:r w:rsidR="00F25BFB" w:rsidRPr="00753DCC">
        <w:rPr>
          <w:rFonts w:hint="eastAsia"/>
        </w:rPr>
        <w:t>現在の</w:t>
      </w:r>
      <w:r w:rsidR="00F25BFB" w:rsidRPr="00753DCC">
        <w:rPr>
          <w:rFonts w:hint="eastAsia"/>
          <w:lang w:val="en-US"/>
        </w:rPr>
        <w:t>JP PINT</w:t>
      </w:r>
      <w:r w:rsidR="00F25BFB" w:rsidRPr="00753DCC">
        <w:rPr>
          <w:rFonts w:hint="eastAsia"/>
        </w:rPr>
        <w:t>のサービスプロバイダは、オープンペポルの</w:t>
      </w:r>
      <w:r w:rsidR="00F25BFB">
        <w:rPr>
          <w:rFonts w:hint="eastAsia"/>
        </w:rPr>
        <w:t>電子請求書</w:t>
      </w:r>
      <w:r w:rsidR="00F25BFB" w:rsidRPr="00753DCC">
        <w:rPr>
          <w:rFonts w:hint="eastAsia"/>
        </w:rPr>
        <w:t>しか受け付けていないため、対象範囲が限定されています。そこで、「構文バインディング」</w:t>
      </w:r>
      <w:r w:rsidR="00245904">
        <w:rPr>
          <w:rStyle w:val="ac"/>
        </w:rPr>
        <w:endnoteReference w:id="3"/>
      </w:r>
      <w:r w:rsidR="00F25BFB" w:rsidRPr="00753DCC">
        <w:rPr>
          <w:rFonts w:hint="eastAsia"/>
        </w:rPr>
        <w:t>が重要な役割を果たします。これは、異なる</w:t>
      </w:r>
      <w:r w:rsidR="00F25BFB" w:rsidRPr="00753DCC">
        <w:rPr>
          <w:rFonts w:hint="eastAsia"/>
          <w:lang w:val="en-US"/>
        </w:rPr>
        <w:t>XML</w:t>
      </w:r>
      <w:r w:rsidR="00F25BFB" w:rsidRPr="00753DCC">
        <w:rPr>
          <w:rFonts w:hint="eastAsia"/>
        </w:rPr>
        <w:t>構文や</w:t>
      </w:r>
      <w:r w:rsidR="00F25BFB">
        <w:rPr>
          <w:rFonts w:hint="eastAsia"/>
        </w:rPr>
        <w:t>論理モデル</w:t>
      </w:r>
      <w:r w:rsidR="00F25BFB" w:rsidRPr="00753DCC">
        <w:rPr>
          <w:rFonts w:hint="eastAsia"/>
        </w:rPr>
        <w:t>を統合するた</w:t>
      </w:r>
      <w:r w:rsidR="00F25BFB" w:rsidRPr="00753DCC">
        <w:rPr>
          <w:rFonts w:hint="eastAsia"/>
        </w:rPr>
        <w:t>めの技術で、</w:t>
      </w:r>
      <w:r w:rsidR="00F25BFB" w:rsidRPr="00753DCC">
        <w:rPr>
          <w:rFonts w:hint="eastAsia"/>
          <w:lang w:val="en-US"/>
        </w:rPr>
        <w:t>EDI</w:t>
      </w:r>
      <w:r w:rsidR="00F25BFB" w:rsidRPr="00753DCC">
        <w:rPr>
          <w:rFonts w:hint="eastAsia"/>
        </w:rPr>
        <w:t>と</w:t>
      </w:r>
      <w:r w:rsidR="00F25BFB">
        <w:rPr>
          <w:rFonts w:hint="eastAsia"/>
        </w:rPr>
        <w:t>電子請求書</w:t>
      </w:r>
      <w:r w:rsidR="00F25BFB" w:rsidRPr="00753DCC">
        <w:rPr>
          <w:rFonts w:hint="eastAsia"/>
        </w:rPr>
        <w:t>を相互運用すること</w:t>
      </w:r>
      <w:r w:rsidR="00F25BFB">
        <w:rPr>
          <w:rFonts w:hint="eastAsia"/>
        </w:rPr>
        <w:t>を可能にします</w:t>
      </w:r>
      <w:r w:rsidR="00F25BFB" w:rsidRPr="00753DCC">
        <w:rPr>
          <w:rFonts w:hint="eastAsia"/>
        </w:rPr>
        <w:t>。</w:t>
      </w:r>
    </w:p>
    <w:p w14:paraId="3C618BDC" w14:textId="214F166D" w:rsidR="00F25BFB" w:rsidRPr="00753DCC" w:rsidRDefault="00F25BFB" w:rsidP="00F25BFB">
      <w:r w:rsidRPr="00753DCC">
        <w:rPr>
          <w:rFonts w:hint="eastAsia"/>
        </w:rPr>
        <w:t>それぞれの企業の会計データを標準化し、共通のインタフェースを通じてデータを参照可能にすることで、税理士や企業が税務申告をより効率的に行うこと</w:t>
      </w:r>
      <w:r>
        <w:rPr>
          <w:rFonts w:hint="eastAsia"/>
        </w:rPr>
        <w:t>も</w:t>
      </w:r>
      <w:r w:rsidRPr="00753DCC">
        <w:rPr>
          <w:rFonts w:hint="eastAsia"/>
        </w:rPr>
        <w:t>できます。さらに、標準化されたデータは、経営判断に必要な情報を提供し、企業の競争力を高める役割も果たします。</w:t>
      </w:r>
    </w:p>
    <w:p w14:paraId="053F4826" w14:textId="406FE8C9" w:rsidR="00F25BFB" w:rsidRPr="00753DCC" w:rsidRDefault="00F25BFB" w:rsidP="00ED65A3">
      <w:pPr>
        <w:pStyle w:val="1"/>
        <w:rPr>
          <w:rFonts w:ascii="Arial" w:eastAsia="Times New Roman" w:hAnsi="Arial" w:cs="Arial"/>
        </w:rPr>
      </w:pPr>
      <w:r w:rsidRPr="00753DCC">
        <w:rPr>
          <w:rFonts w:hint="eastAsia"/>
        </w:rPr>
        <w:t>貨物船コンテナの積み替え作業に例える</w:t>
      </w:r>
      <w:r w:rsidRPr="00753DCC">
        <w:t>と</w:t>
      </w:r>
    </w:p>
    <w:p w14:paraId="67BF8962" w14:textId="77777777" w:rsidR="00F25BFB" w:rsidRPr="00753DCC" w:rsidRDefault="00F25BFB" w:rsidP="00F25BFB">
      <w:r w:rsidRPr="00753DCC">
        <w:rPr>
          <w:rFonts w:hint="eastAsia"/>
        </w:rPr>
        <w:t>貨物船の輸送におけるコンテナの積み替え作業を例えに取りながら、コアインボイスというシステムについて説明します。</w:t>
      </w:r>
    </w:p>
    <w:p w14:paraId="3A065B8E" w14:textId="11538C36" w:rsidR="00F25BFB" w:rsidRPr="00753DCC" w:rsidRDefault="00F25BFB" w:rsidP="00F25BFB">
      <w:r w:rsidRPr="00753DCC">
        <w:rPr>
          <w:rFonts w:hint="eastAsia"/>
        </w:rPr>
        <w:t>コアインボイスは、中小企業共通</w:t>
      </w:r>
      <w:r w:rsidRPr="00753DCC">
        <w:rPr>
          <w:rFonts w:hint="eastAsia"/>
          <w:lang w:val="en-US"/>
        </w:rPr>
        <w:t>EDI</w:t>
      </w:r>
      <w:r w:rsidR="00971840">
        <w:rPr>
          <w:rStyle w:val="ac"/>
          <w:lang w:val="en-US"/>
        </w:rPr>
        <w:endnoteReference w:id="4"/>
      </w:r>
      <w:r w:rsidRPr="00753DCC">
        <w:rPr>
          <w:rFonts w:hint="eastAsia"/>
        </w:rPr>
        <w:t>や</w:t>
      </w:r>
      <w:r w:rsidRPr="00753DCC">
        <w:rPr>
          <w:rFonts w:hint="eastAsia"/>
          <w:lang w:val="en-US"/>
        </w:rPr>
        <w:t>JP PINT</w:t>
      </w:r>
      <w:r w:rsidRPr="00753DCC">
        <w:rPr>
          <w:rFonts w:hint="eastAsia"/>
        </w:rPr>
        <w:t>などの異なるデータ形式で表現された請求書を、一つの共通の形式で統一的に扱うためのシステムです。港でコンテナを積み替える際に、ピッキングリストに従って請求金額、商品名、数量、金額、税率などを取り出し、指定された船倉に異なったまとめ方で格納します。</w:t>
      </w:r>
    </w:p>
    <w:p w14:paraId="20F32018" w14:textId="2160F956" w:rsidR="00F25BFB" w:rsidRPr="00753DCC" w:rsidRDefault="00F25BFB" w:rsidP="00F25BFB">
      <w:r w:rsidRPr="00753DCC">
        <w:rPr>
          <w:rFonts w:hint="eastAsia"/>
        </w:rPr>
        <w:t>この作業は、自動運転されるクレーンによって行われ、コアインボイスの論理モデルの定義表やピッキングシート、格納指示リストなどに基づいて指示されます。これらの指示は、タクソノミ</w:t>
      </w:r>
      <w:r w:rsidR="00BE3694">
        <w:rPr>
          <w:rStyle w:val="ac"/>
        </w:rPr>
        <w:endnoteReference w:id="5"/>
      </w:r>
      <w:r w:rsidRPr="00753DCC">
        <w:rPr>
          <w:rFonts w:hint="eastAsia"/>
        </w:rPr>
        <w:t>で定義された辞書によって表現されます。</w:t>
      </w:r>
    </w:p>
    <w:p w14:paraId="19E2DF4B" w14:textId="1E2B3116" w:rsidR="00F25BFB" w:rsidRDefault="00F25BFB" w:rsidP="009837FC">
      <w:r w:rsidRPr="00753DCC">
        <w:rPr>
          <w:rFonts w:hint="eastAsia"/>
        </w:rPr>
        <w:t>このように、コアインボイスは異なるデータ形式を統一的に扱い、効率的な請求書の処理を可能にするシステムです。日本版</w:t>
      </w:r>
      <w:r>
        <w:rPr>
          <w:rFonts w:hint="eastAsia"/>
        </w:rPr>
        <w:t>コアインボイス　ゲートウェイ</w:t>
      </w:r>
      <w:r w:rsidR="00FC2405">
        <w:rPr>
          <w:rFonts w:hint="eastAsia"/>
        </w:rPr>
        <w:t>（試行中</w:t>
      </w:r>
      <w:r w:rsidR="00FB4479">
        <w:rPr>
          <w:rStyle w:val="ac"/>
        </w:rPr>
        <w:endnoteReference w:id="6"/>
      </w:r>
      <w:r w:rsidR="00FC2405">
        <w:rPr>
          <w:rFonts w:hint="eastAsia"/>
        </w:rPr>
        <w:t>）</w:t>
      </w:r>
      <w:r w:rsidRPr="00753DCC">
        <w:rPr>
          <w:rFonts w:hint="eastAsia"/>
        </w:rPr>
        <w:t>は、このシステムを実現するための機能を提供するものです。</w:t>
      </w:r>
      <w:r>
        <w:rPr>
          <w:rFonts w:hint="eastAsia"/>
        </w:rPr>
        <w:t>コアインボイスシステムは、まるでコンテナ積み替えのように、異なる形式の請求書を一つの共通形式に変換し、それを統一的に管理する役割を果たします。</w:t>
      </w:r>
    </w:p>
    <w:p w14:paraId="2F9D0987" w14:textId="00AB2753" w:rsidR="00F25BFB" w:rsidRPr="00753DCC" w:rsidRDefault="00F25BFB" w:rsidP="00ED65A3">
      <w:pPr>
        <w:pStyle w:val="1"/>
      </w:pPr>
      <w:r w:rsidRPr="00753DCC">
        <w:rPr>
          <w:rFonts w:hint="eastAsia"/>
        </w:rPr>
        <w:lastRenderedPageBreak/>
        <w:t>構文バインディング</w:t>
      </w:r>
    </w:p>
    <w:p w14:paraId="36834C3F" w14:textId="5B4F5B11" w:rsidR="00F25BFB" w:rsidRPr="00753DCC" w:rsidRDefault="00F25BFB" w:rsidP="00F25BFB">
      <w:r w:rsidRPr="00753DCC">
        <w:rPr>
          <w:rFonts w:hint="eastAsia"/>
        </w:rPr>
        <w:t>構文バインディングという言葉は少々専門的ですが、簡単に説明すると、異なる形式のデータを一つの形式に統一するためのルールや手順のことを指します。それを用いることで、</w:t>
      </w:r>
      <w:r>
        <w:rPr>
          <w:rFonts w:hint="eastAsia"/>
        </w:rPr>
        <w:t>電子請求書</w:t>
      </w:r>
      <w:r w:rsidRPr="00753DCC">
        <w:rPr>
          <w:rFonts w:hint="eastAsia"/>
        </w:rPr>
        <w:t>の情報を容易に取得・設定できるようになります。</w:t>
      </w:r>
    </w:p>
    <w:p w14:paraId="71D89064" w14:textId="03AD3948" w:rsidR="009837FC" w:rsidRPr="00753DCC" w:rsidRDefault="00F25BFB" w:rsidP="00F25BFB">
      <w:r w:rsidRPr="00753DCC">
        <w:rPr>
          <w:rFonts w:hint="eastAsia"/>
        </w:rPr>
        <w:t>例えば、ある情報を表すために異なる会社がそれぞれ違う形式を用いていたとします。一方は「商品名</w:t>
      </w:r>
      <w:r w:rsidRPr="00753DCC">
        <w:rPr>
          <w:rFonts w:hint="eastAsia"/>
          <w:lang w:val="en-US"/>
        </w:rPr>
        <w:t>-</w:t>
      </w:r>
      <w:r w:rsidRPr="00753DCC">
        <w:rPr>
          <w:rFonts w:hint="eastAsia"/>
        </w:rPr>
        <w:t>数量</w:t>
      </w:r>
      <w:r w:rsidRPr="00753DCC">
        <w:rPr>
          <w:rFonts w:hint="eastAsia"/>
          <w:lang w:val="en-US"/>
        </w:rPr>
        <w:t>-</w:t>
      </w:r>
      <w:r w:rsidRPr="00753DCC">
        <w:rPr>
          <w:rFonts w:hint="eastAsia"/>
        </w:rPr>
        <w:t>価格」の順で、もう一方は「数量</w:t>
      </w:r>
      <w:r w:rsidRPr="00753DCC">
        <w:rPr>
          <w:rFonts w:hint="eastAsia"/>
          <w:lang w:val="en-US"/>
        </w:rPr>
        <w:t>-</w:t>
      </w:r>
      <w:r w:rsidRPr="00753DCC">
        <w:rPr>
          <w:rFonts w:hint="eastAsia"/>
        </w:rPr>
        <w:t>商品名</w:t>
      </w:r>
      <w:r w:rsidRPr="00753DCC">
        <w:rPr>
          <w:rFonts w:hint="eastAsia"/>
          <w:lang w:val="en-US"/>
        </w:rPr>
        <w:t>-</w:t>
      </w:r>
      <w:r w:rsidRPr="00753DCC">
        <w:rPr>
          <w:rFonts w:hint="eastAsia"/>
        </w:rPr>
        <w:t>価格」の順で情報を表現しているとします。このような場合、同じ情報でも表現の仕方が異なるため、それぞれ異なる読み取り方をしなければならず、その都度読み方を変える</w:t>
      </w:r>
      <w:r>
        <w:rPr>
          <w:rFonts w:hint="eastAsia"/>
        </w:rPr>
        <w:t>（プログラムを改修する）</w:t>
      </w:r>
      <w:r w:rsidRPr="00753DCC">
        <w:rPr>
          <w:rFonts w:hint="eastAsia"/>
        </w:rPr>
        <w:t>のは非効率的です。</w:t>
      </w:r>
    </w:p>
    <w:p w14:paraId="2FE0B138" w14:textId="77777777" w:rsidR="00F25BFB" w:rsidRDefault="00F25BFB" w:rsidP="00F25BFB">
      <w:r w:rsidRPr="00753DCC">
        <w:rPr>
          <w:rFonts w:hint="eastAsia"/>
        </w:rPr>
        <w:t>そこで、構文バインディングを導入することで、「商品名</w:t>
      </w:r>
      <w:r w:rsidRPr="00753DCC">
        <w:rPr>
          <w:rFonts w:hint="eastAsia"/>
          <w:lang w:val="en-US"/>
        </w:rPr>
        <w:t>-</w:t>
      </w:r>
      <w:r w:rsidRPr="00753DCC">
        <w:rPr>
          <w:rFonts w:hint="eastAsia"/>
        </w:rPr>
        <w:t>数量</w:t>
      </w:r>
      <w:r w:rsidRPr="00753DCC">
        <w:rPr>
          <w:rFonts w:hint="eastAsia"/>
          <w:lang w:val="en-US"/>
        </w:rPr>
        <w:t>-</w:t>
      </w:r>
      <w:r w:rsidRPr="00753DCC">
        <w:rPr>
          <w:rFonts w:hint="eastAsia"/>
        </w:rPr>
        <w:t>価格」の形式に統一するといった具体的なルールや手順を設けるのです。これにより、どの会社からの情報であっても同じ読み取り方ができ、効率的に情報を取り扱うことが可能になります。</w:t>
      </w:r>
    </w:p>
    <w:p w14:paraId="59FB881C" w14:textId="77777777" w:rsidR="00F25BFB" w:rsidRDefault="00F25BFB" w:rsidP="00F25BFB">
      <w:r>
        <w:rPr>
          <w:rFonts w:hint="eastAsia"/>
        </w:rPr>
        <w:t>たとえば、ある企業が別の企業から商品を購入する際に、それぞれの企業から異なる形式の請求書が送られてきたとします。ここで、それぞれの請求書を個別に処理しようとすると、手間と時間がかかり、エラーが発生する可能性もあります。</w:t>
      </w:r>
    </w:p>
    <w:p w14:paraId="21A1810D" w14:textId="77777777" w:rsidR="00F25BFB" w:rsidRDefault="00F25BFB" w:rsidP="00F25BFB">
      <w:r>
        <w:rPr>
          <w:rFonts w:hint="eastAsia"/>
        </w:rPr>
        <w:t>しかし、コアインボイスを使えば、異なる形式の請求書を一つの共通形式に変換し、統一的に管理することができます。これにより、請求書の処理が効率化され、エラーの発生を防ぐことができます。</w:t>
      </w:r>
    </w:p>
    <w:p w14:paraId="4BE09242" w14:textId="77777777" w:rsidR="00F25BFB" w:rsidRDefault="00F25BFB" w:rsidP="00F25BFB">
      <w:r>
        <w:rPr>
          <w:rFonts w:hint="eastAsia"/>
        </w:rPr>
        <w:t>コアインボイスの活用は、取引のスムーズな進行だけでなく、企業の経営効率化やコスト削減にも寄与します。経理部門の作業負荷を軽減し、より重要な業務に集中できるようになるためです。</w:t>
      </w:r>
    </w:p>
    <w:p w14:paraId="0157D335" w14:textId="77777777" w:rsidR="00F25BFB" w:rsidRDefault="00F25BFB" w:rsidP="00F25BFB">
      <w:r>
        <w:rPr>
          <w:rFonts w:hint="eastAsia"/>
        </w:rPr>
        <w:t>また、コアインボイスは、取引データの一元管理を可能にします。これにより、経営判断に必要な情報の把握が容易になり、迅速な意思決定を実現できます。さらに、税務申告の際にも、一元管理されたデータを利用することで、効率的な申告作業を実現できます。</w:t>
      </w:r>
    </w:p>
    <w:p w14:paraId="214E5AF1" w14:textId="77777777" w:rsidR="00F25BFB" w:rsidRDefault="00F25BFB" w:rsidP="00F25BFB">
      <w:r>
        <w:rPr>
          <w:rFonts w:hint="eastAsia"/>
        </w:rPr>
        <w:t>コアインボイスは、企業がデジタル化を進める上で重要なツールと言えます。これからの時代、企業は様々な形式のデータを効率的に扱う能力が求められます。コアインボイスを活用することで、企業はデータの扱いにおける効率性と正確性を確保し、競争力を高めることができます。</w:t>
      </w:r>
    </w:p>
    <w:p w14:paraId="56039C5A" w14:textId="3950CB27" w:rsidR="00F25BFB" w:rsidRPr="00753DCC" w:rsidRDefault="00F25BFB" w:rsidP="00ED65A3">
      <w:pPr>
        <w:pStyle w:val="1"/>
      </w:pPr>
      <w:r w:rsidRPr="00753DCC">
        <w:rPr>
          <w:rFonts w:hint="eastAsia"/>
          <w:lang w:val="en-US"/>
        </w:rPr>
        <w:t> </w:t>
      </w:r>
      <w:r w:rsidRPr="00753DCC">
        <w:rPr>
          <w:rFonts w:hint="eastAsia"/>
        </w:rPr>
        <w:t>欧州規格</w:t>
      </w:r>
      <w:r>
        <w:rPr>
          <w:rFonts w:hint="eastAsia"/>
        </w:rPr>
        <w:t>の</w:t>
      </w:r>
      <w:r w:rsidRPr="00753DCC">
        <w:rPr>
          <w:rFonts w:hint="eastAsia"/>
        </w:rPr>
        <w:t>異</w:t>
      </w:r>
      <w:r w:rsidR="00201C85">
        <w:rPr>
          <w:rFonts w:hint="eastAsia"/>
        </w:rPr>
        <w:t>なる</w:t>
      </w:r>
      <w:r w:rsidRPr="00753DCC">
        <w:rPr>
          <w:rFonts w:hint="eastAsia"/>
        </w:rPr>
        <w:t>構文間バインディング</w:t>
      </w:r>
    </w:p>
    <w:p w14:paraId="63921501" w14:textId="77777777" w:rsidR="00F25BFB" w:rsidRPr="00753DCC" w:rsidRDefault="00F25BFB" w:rsidP="00F25BFB">
      <w:r w:rsidRPr="00753DCC">
        <w:rPr>
          <w:rFonts w:hint="eastAsia"/>
        </w:rPr>
        <w:t>欧州では、</w:t>
      </w:r>
      <w:r>
        <w:rPr>
          <w:rFonts w:hint="eastAsia"/>
        </w:rPr>
        <w:t>電子請求書</w:t>
      </w:r>
      <w:r w:rsidRPr="00753DCC">
        <w:rPr>
          <w:rFonts w:hint="eastAsia"/>
        </w:rPr>
        <w:t>の普及を推進するために、共通の標準を設けています。これは、各国で異なる標準が採用されていたため、国境を越えた商取引が阻害されていたという課題から生まれました。</w:t>
      </w:r>
    </w:p>
    <w:p w14:paraId="0F5A358F" w14:textId="116FF5DA" w:rsidR="00F25BFB" w:rsidRDefault="00F25BFB" w:rsidP="00F25BFB">
      <w:r w:rsidRPr="00753DCC">
        <w:rPr>
          <w:rFonts w:hint="eastAsia"/>
        </w:rPr>
        <w:t>具体的には、欧州議会および理事会の「指令</w:t>
      </w:r>
      <w:r w:rsidRPr="00753DCC">
        <w:rPr>
          <w:rFonts w:hint="eastAsia"/>
          <w:lang w:val="en-US"/>
        </w:rPr>
        <w:t> 2014/55/EU</w:t>
      </w:r>
      <w:r w:rsidRPr="00753DCC">
        <w:rPr>
          <w:rFonts w:hint="eastAsia"/>
        </w:rPr>
        <w:t>」に基づき、電子請求書の最低限の共通構成要素を「コアインボイス」として規定しました。また、各国で採用されている</w:t>
      </w:r>
      <w:r w:rsidRPr="00753DCC">
        <w:rPr>
          <w:rFonts w:hint="eastAsia"/>
          <w:lang w:val="en-US"/>
        </w:rPr>
        <w:t>XML</w:t>
      </w:r>
      <w:r w:rsidRPr="00753DCC">
        <w:rPr>
          <w:rFonts w:hint="eastAsia"/>
        </w:rPr>
        <w:t>構文（</w:t>
      </w:r>
      <w:r>
        <w:rPr>
          <w:rFonts w:hint="eastAsia"/>
        </w:rPr>
        <w:t>データ</w:t>
      </w:r>
      <w:r w:rsidRPr="00753DCC">
        <w:rPr>
          <w:rFonts w:hint="eastAsia"/>
        </w:rPr>
        <w:t>の表現形式）の中から普及しているものを選び、「構文バインディング」（情報の統一形式）を規定しました。こ</w:t>
      </w:r>
      <w:r>
        <w:rPr>
          <w:rFonts w:hint="eastAsia"/>
        </w:rPr>
        <w:t>うして</w:t>
      </w:r>
      <w:r w:rsidRPr="00753DCC">
        <w:rPr>
          <w:rFonts w:hint="eastAsia"/>
        </w:rPr>
        <w:t>、</w:t>
      </w:r>
      <w:r>
        <w:rPr>
          <w:rFonts w:hint="eastAsia"/>
        </w:rPr>
        <w:t>欧州</w:t>
      </w:r>
      <w:r w:rsidRPr="00753DCC">
        <w:rPr>
          <w:rFonts w:hint="eastAsia"/>
        </w:rPr>
        <w:t>各国の異なる標準を一つの形式に統一することで、国境を越えても同じ読み取り方ができるようになり、商取引のスムーズな進行が可能になりました。</w:t>
      </w:r>
    </w:p>
    <w:p w14:paraId="35B5FAC3" w14:textId="77777777" w:rsidR="00502C76" w:rsidRDefault="00F25BFB" w:rsidP="00F25BFB">
      <w:pPr>
        <w:jc w:val="right"/>
        <w:sectPr w:rsidR="00502C76" w:rsidSect="00F25BFB">
          <w:footerReference w:type="default" r:id="rId8"/>
          <w:pgSz w:w="11906" w:h="16838"/>
          <w:pgMar w:top="720" w:right="1008" w:bottom="720" w:left="1008" w:header="0" w:footer="0" w:gutter="0"/>
          <w:cols w:num="2" w:space="425"/>
          <w:docGrid w:linePitch="360"/>
        </w:sectPr>
      </w:pPr>
      <w:r>
        <w:rPr>
          <w:rFonts w:hint="eastAsia"/>
        </w:rPr>
        <w:t>■</w:t>
      </w:r>
    </w:p>
    <w:p w14:paraId="083F2049" w14:textId="77777777" w:rsidR="00C92A10" w:rsidRPr="00F67974" w:rsidRDefault="00C92A10" w:rsidP="00F67974">
      <w:pPr>
        <w:pStyle w:val="a3"/>
      </w:pPr>
      <w:r w:rsidRPr="00F67974">
        <w:rPr>
          <w:rFonts w:hint="eastAsia"/>
        </w:rPr>
        <w:lastRenderedPageBreak/>
        <w:t>中小企業のデジタル化を推進するためのコアインボイス活用</w:t>
      </w:r>
      <w:r w:rsidRPr="00F67974">
        <w:rPr>
          <w:rFonts w:hint="eastAsia"/>
        </w:rPr>
        <w:t>(</w:t>
      </w:r>
      <w:r w:rsidRPr="00F67974">
        <w:rPr>
          <w:rFonts w:hint="eastAsia"/>
        </w:rPr>
        <w:t>後編</w:t>
      </w:r>
      <w:r w:rsidRPr="00F67974">
        <w:t>)</w:t>
      </w:r>
    </w:p>
    <w:p w14:paraId="78C646B1" w14:textId="77777777" w:rsidR="00C92A10" w:rsidRDefault="00C92A10" w:rsidP="00C92A10">
      <w:pPr>
        <w:spacing w:before="0"/>
        <w:jc w:val="right"/>
        <w:rPr>
          <w:lang w:eastAsia="zh-TW"/>
        </w:rPr>
      </w:pPr>
      <w:r>
        <w:rPr>
          <w:rFonts w:hint="eastAsia"/>
          <w:lang w:eastAsia="zh-TW"/>
        </w:rPr>
        <w:t>三分一信之</w:t>
      </w:r>
    </w:p>
    <w:p w14:paraId="6992DAA7" w14:textId="77777777" w:rsidR="00C92A10" w:rsidRPr="008E3354" w:rsidRDefault="00C92A10" w:rsidP="00C92A10">
      <w:pPr>
        <w:spacing w:before="0"/>
        <w:jc w:val="right"/>
        <w:rPr>
          <w:sz w:val="18"/>
          <w:szCs w:val="18"/>
          <w:lang w:eastAsia="zh-TW"/>
        </w:rPr>
      </w:pPr>
      <w:r w:rsidRPr="008E3354">
        <w:rPr>
          <w:rFonts w:hint="eastAsia"/>
          <w:sz w:val="18"/>
          <w:szCs w:val="18"/>
          <w:lang w:eastAsia="zh-TW"/>
        </w:rPr>
        <w:t>三分一技術士事務所所長</w:t>
      </w:r>
    </w:p>
    <w:p w14:paraId="41DB174D" w14:textId="4C045591" w:rsidR="00C92A10" w:rsidRPr="008E3354" w:rsidRDefault="00C92A10" w:rsidP="00C92A10">
      <w:pPr>
        <w:spacing w:before="0"/>
        <w:jc w:val="right"/>
        <w:rPr>
          <w:sz w:val="20"/>
          <w:szCs w:val="20"/>
        </w:rPr>
      </w:pPr>
      <w:r w:rsidRPr="008E3354">
        <w:rPr>
          <w:sz w:val="18"/>
          <w:szCs w:val="18"/>
        </w:rPr>
        <w:t>ISO/TC 295</w:t>
      </w:r>
      <w:r w:rsidR="004904CC" w:rsidRPr="008E3354">
        <w:rPr>
          <w:sz w:val="18"/>
          <w:szCs w:val="18"/>
        </w:rPr>
        <w:t xml:space="preserve"> Audit data services</w:t>
      </w:r>
      <w:r w:rsidRPr="008E3354">
        <w:rPr>
          <w:sz w:val="18"/>
          <w:szCs w:val="18"/>
        </w:rPr>
        <w:t>/SG 1 Convener</w:t>
      </w:r>
    </w:p>
    <w:p w14:paraId="0D19CEA0" w14:textId="0824F689" w:rsidR="00C92A10" w:rsidRPr="00172142" w:rsidRDefault="00C92A10" w:rsidP="00ED65A3">
      <w:pPr>
        <w:pStyle w:val="1"/>
      </w:pPr>
      <w:r w:rsidRPr="00172142">
        <w:rPr>
          <w:rFonts w:hint="eastAsia"/>
        </w:rPr>
        <w:t>日本版</w:t>
      </w:r>
      <w:r w:rsidR="00A44419" w:rsidRPr="00172142">
        <w:rPr>
          <w:rFonts w:hint="eastAsia"/>
        </w:rPr>
        <w:t>コアインボイスゲートウェイ</w:t>
      </w:r>
    </w:p>
    <w:p w14:paraId="321887F3" w14:textId="4C472FC1" w:rsidR="00C92A10" w:rsidRPr="00753DCC" w:rsidRDefault="00C92A10" w:rsidP="00C92A10">
      <w:r w:rsidRPr="00753DCC">
        <w:rPr>
          <w:rFonts w:hint="eastAsia"/>
        </w:rPr>
        <w:t>日本版</w:t>
      </w:r>
      <w:r>
        <w:rPr>
          <w:rFonts w:hint="eastAsia"/>
        </w:rPr>
        <w:t>コアインボイス　ゲートウェイ</w:t>
      </w:r>
      <w:r w:rsidRPr="00753DCC">
        <w:rPr>
          <w:rFonts w:hint="eastAsia"/>
        </w:rPr>
        <w:t>は、中小企業が</w:t>
      </w:r>
      <w:r>
        <w:rPr>
          <w:rFonts w:hint="eastAsia"/>
        </w:rPr>
        <w:t>電子請求書</w:t>
      </w:r>
      <w:r w:rsidRPr="00753DCC">
        <w:rPr>
          <w:rFonts w:hint="eastAsia"/>
        </w:rPr>
        <w:t>を利用するための便利なツールです。具体的には、中小企業共通</w:t>
      </w:r>
      <w:r w:rsidRPr="00753DCC">
        <w:rPr>
          <w:rFonts w:hint="eastAsia"/>
          <w:lang w:val="en-US"/>
        </w:rPr>
        <w:t>EDI</w:t>
      </w:r>
      <w:r w:rsidRPr="00753DCC">
        <w:rPr>
          <w:rFonts w:hint="eastAsia"/>
        </w:rPr>
        <w:t>と</w:t>
      </w:r>
      <w:r w:rsidRPr="00753DCC">
        <w:rPr>
          <w:rFonts w:hint="eastAsia"/>
          <w:lang w:val="en-US"/>
        </w:rPr>
        <w:t>JP PINT</w:t>
      </w:r>
      <w:r w:rsidRPr="00753DCC">
        <w:rPr>
          <w:rFonts w:hint="eastAsia"/>
        </w:rPr>
        <w:t>という二つの異なるデータ形式間のデータ変換を行う役割を果たします</w:t>
      </w:r>
      <w:r>
        <w:rPr>
          <w:rFonts w:hint="eastAsia"/>
        </w:rPr>
        <w:t>（試行中</w:t>
      </w:r>
      <w:r w:rsidR="00E76A32">
        <w:rPr>
          <w:rStyle w:val="ac"/>
        </w:rPr>
        <w:endnoteReference w:id="7"/>
      </w:r>
      <w:r>
        <w:rPr>
          <w:rFonts w:hint="eastAsia"/>
        </w:rPr>
        <w:t>）</w:t>
      </w:r>
      <w:r w:rsidRPr="00753DCC">
        <w:rPr>
          <w:rFonts w:hint="eastAsia"/>
        </w:rPr>
        <w:t>。</w:t>
      </w:r>
    </w:p>
    <w:p w14:paraId="7224351D" w14:textId="554DAA83" w:rsidR="00C92A10" w:rsidRPr="00753DCC" w:rsidRDefault="00C92A10" w:rsidP="00C92A10">
      <w:r w:rsidRPr="00753DCC">
        <w:rPr>
          <w:rFonts w:hint="eastAsia"/>
        </w:rPr>
        <w:t>これにより、中小企業でも</w:t>
      </w:r>
      <w:r w:rsidR="000F5A0B">
        <w:rPr>
          <w:rFonts w:hint="eastAsia"/>
          <w:lang w:val="en-US"/>
        </w:rPr>
        <w:t>Peppol</w:t>
      </w:r>
      <w:r w:rsidRPr="00753DCC">
        <w:rPr>
          <w:rFonts w:hint="eastAsia"/>
        </w:rPr>
        <w:t>という世界的な</w:t>
      </w:r>
      <w:r>
        <w:rPr>
          <w:rFonts w:hint="eastAsia"/>
        </w:rPr>
        <w:t>電子請求書</w:t>
      </w:r>
      <w:r w:rsidRPr="00753DCC">
        <w:rPr>
          <w:rFonts w:hint="eastAsia"/>
        </w:rPr>
        <w:t>ネットワークのアクセスポイントに接続することが可能になります。このゲートウェイは、日本版コアインボイスの</w:t>
      </w:r>
      <w:r>
        <w:rPr>
          <w:rFonts w:hint="eastAsia"/>
        </w:rPr>
        <w:t>論理モデル</w:t>
      </w:r>
      <w:r w:rsidRPr="00753DCC">
        <w:rPr>
          <w:rFonts w:hint="eastAsia"/>
        </w:rPr>
        <w:t>（データの意味を表現するモデル）に対応した</w:t>
      </w:r>
      <w:r w:rsidRPr="00753DCC">
        <w:rPr>
          <w:rFonts w:hint="eastAsia"/>
          <w:lang w:val="en-US"/>
        </w:rPr>
        <w:t>CSV</w:t>
      </w:r>
      <w:r>
        <w:rPr>
          <w:rFonts w:hint="eastAsia"/>
          <w:lang w:val="en-US"/>
        </w:rPr>
        <w:t>の</w:t>
      </w:r>
      <w:r w:rsidRPr="00753DCC">
        <w:rPr>
          <w:rFonts w:hint="eastAsia"/>
        </w:rPr>
        <w:t>標準データ形式を利用しています。</w:t>
      </w:r>
    </w:p>
    <w:p w14:paraId="72169072" w14:textId="5814EB1F" w:rsidR="00C92A10" w:rsidRPr="00753DCC" w:rsidRDefault="00C92A10" w:rsidP="00C92A10">
      <w:r w:rsidRPr="00753DCC">
        <w:rPr>
          <w:rFonts w:hint="eastAsia"/>
        </w:rPr>
        <w:t>また、他の業界</w:t>
      </w:r>
      <w:r w:rsidRPr="00753DCC">
        <w:rPr>
          <w:rFonts w:hint="eastAsia"/>
          <w:lang w:val="en-US"/>
        </w:rPr>
        <w:t>EDI</w:t>
      </w:r>
      <w:r w:rsidRPr="00753DCC">
        <w:rPr>
          <w:rFonts w:hint="eastAsia"/>
        </w:rPr>
        <w:t>の</w:t>
      </w:r>
      <w:r>
        <w:rPr>
          <w:rFonts w:hint="eastAsia"/>
        </w:rPr>
        <w:t>利用者</w:t>
      </w:r>
      <w:r w:rsidRPr="00753DCC">
        <w:rPr>
          <w:rFonts w:hint="eastAsia"/>
        </w:rPr>
        <w:t>も、</w:t>
      </w:r>
      <w:r w:rsidR="000F5A0B">
        <w:rPr>
          <w:rFonts w:hint="eastAsia"/>
          <w:lang w:val="en-US"/>
        </w:rPr>
        <w:t>Peppol</w:t>
      </w:r>
      <w:r w:rsidRPr="00753DCC">
        <w:rPr>
          <w:rFonts w:hint="eastAsia"/>
        </w:rPr>
        <w:t>の</w:t>
      </w:r>
      <w:r w:rsidRPr="00753DCC">
        <w:rPr>
          <w:rFonts w:hint="eastAsia"/>
          <w:lang w:val="en-US"/>
        </w:rPr>
        <w:t>SMP</w:t>
      </w:r>
      <w:r w:rsidR="00DC06D2">
        <w:rPr>
          <w:rStyle w:val="ac"/>
          <w:lang w:val="en-US"/>
        </w:rPr>
        <w:endnoteReference w:id="8"/>
      </w:r>
      <w:r w:rsidRPr="00753DCC">
        <w:rPr>
          <w:rFonts w:hint="eastAsia"/>
        </w:rPr>
        <w:t>に登録していれば、このゲートウェイを経由して</w:t>
      </w:r>
      <w:r>
        <w:rPr>
          <w:rFonts w:hint="eastAsia"/>
        </w:rPr>
        <w:t>電子請求書</w:t>
      </w:r>
      <w:r w:rsidRPr="00753DCC">
        <w:rPr>
          <w:rFonts w:hint="eastAsia"/>
        </w:rPr>
        <w:t>を送信することができます。</w:t>
      </w:r>
    </w:p>
    <w:p w14:paraId="66B04971" w14:textId="6A1FB222" w:rsidR="00C92A10" w:rsidRPr="00753DCC" w:rsidRDefault="00C92A10" w:rsidP="00C92A10">
      <w:r w:rsidRPr="00753DCC">
        <w:rPr>
          <w:rFonts w:hint="eastAsia"/>
        </w:rPr>
        <w:t>業務システムで接続先ごとのデータ処理インタフェースを運用している企業もあります。大手企業では、これに対応するために個別の調達ポータルを提供していることもありますが、その維持管理が大きな負担とな</w:t>
      </w:r>
      <w:r>
        <w:rPr>
          <w:rFonts w:hint="eastAsia"/>
        </w:rPr>
        <w:t>ってい</w:t>
      </w:r>
      <w:r w:rsidRPr="00753DCC">
        <w:rPr>
          <w:rFonts w:hint="eastAsia"/>
        </w:rPr>
        <w:t>ます。</w:t>
      </w:r>
    </w:p>
    <w:p w14:paraId="13FE60C6" w14:textId="5D01B6A4" w:rsidR="00C92A10" w:rsidRPr="00753DCC" w:rsidRDefault="003E4948" w:rsidP="00C92A10">
      <w:r>
        <w:rPr>
          <w:rFonts w:hint="eastAsia"/>
          <w:noProof/>
        </w:rPr>
        <w:drawing>
          <wp:anchor distT="0" distB="0" distL="114300" distR="114300" simplePos="0" relativeHeight="251661824" behindDoc="0" locked="0" layoutInCell="1" allowOverlap="1" wp14:anchorId="4067A5AF" wp14:editId="03894056">
            <wp:simplePos x="0" y="0"/>
            <wp:positionH relativeFrom="column">
              <wp:posOffset>357505</wp:posOffset>
            </wp:positionH>
            <wp:positionV relativeFrom="paragraph">
              <wp:posOffset>1185692</wp:posOffset>
            </wp:positionV>
            <wp:extent cx="5563870" cy="3115310"/>
            <wp:effectExtent l="0" t="0" r="0" b="0"/>
            <wp:wrapTopAndBottom/>
            <wp:docPr id="623913780"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13780" name="図 2" descr="ダイアグラム&#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3870" cy="3115310"/>
                    </a:xfrm>
                    <a:prstGeom prst="rect">
                      <a:avLst/>
                    </a:prstGeom>
                  </pic:spPr>
                </pic:pic>
              </a:graphicData>
            </a:graphic>
            <wp14:sizeRelH relativeFrom="page">
              <wp14:pctWidth>0</wp14:pctWidth>
            </wp14:sizeRelH>
            <wp14:sizeRelV relativeFrom="page">
              <wp14:pctHeight>0</wp14:pctHeight>
            </wp14:sizeRelV>
          </wp:anchor>
        </w:drawing>
      </w:r>
      <w:r w:rsidR="00C92A10" w:rsidRPr="00753DCC">
        <w:rPr>
          <w:rFonts w:hint="eastAsia"/>
        </w:rPr>
        <w:t>日本版</w:t>
      </w:r>
      <w:r w:rsidR="00C92A10">
        <w:rPr>
          <w:rFonts w:hint="eastAsia"/>
        </w:rPr>
        <w:t>コアインボイス　ゲートウェイ</w:t>
      </w:r>
      <w:r w:rsidR="00C92A10" w:rsidRPr="00753DCC">
        <w:rPr>
          <w:rFonts w:hint="eastAsia"/>
        </w:rPr>
        <w:t>で使用される標準データインタフェース</w:t>
      </w:r>
      <w:r w:rsidR="00C92A10">
        <w:rPr>
          <w:rFonts w:hint="eastAsia"/>
        </w:rPr>
        <w:t>は、</w:t>
      </w:r>
      <w:r w:rsidR="00C92A10" w:rsidRPr="00753DCC">
        <w:rPr>
          <w:rFonts w:hint="eastAsia"/>
        </w:rPr>
        <w:t>社内システム</w:t>
      </w:r>
      <w:r w:rsidR="00C92A10">
        <w:rPr>
          <w:rFonts w:hint="eastAsia"/>
        </w:rPr>
        <w:t>と</w:t>
      </w:r>
      <w:r w:rsidR="00C92A10" w:rsidRPr="00753DCC">
        <w:rPr>
          <w:rFonts w:hint="eastAsia"/>
        </w:rPr>
        <w:t>連携させるため</w:t>
      </w:r>
      <w:r w:rsidR="00C92A10">
        <w:rPr>
          <w:rFonts w:hint="eastAsia"/>
        </w:rPr>
        <w:t>に</w:t>
      </w:r>
      <w:r w:rsidR="00C92A10" w:rsidRPr="00753DCC">
        <w:rPr>
          <w:rFonts w:hint="eastAsia"/>
        </w:rPr>
        <w:t>、アクセスポイントでの使用と同様、複数のインタフェースを組み合わせることが可能です。また、</w:t>
      </w:r>
      <w:r w:rsidR="00C92A10" w:rsidRPr="00753DCC">
        <w:rPr>
          <w:rFonts w:hint="eastAsia"/>
          <w:lang w:val="en-US"/>
        </w:rPr>
        <w:t>CSV</w:t>
      </w:r>
      <w:r w:rsidR="00C92A10" w:rsidRPr="00753DCC">
        <w:rPr>
          <w:rFonts w:hint="eastAsia"/>
        </w:rPr>
        <w:t>ファイル</w:t>
      </w:r>
      <w:r w:rsidR="00C92A10">
        <w:rPr>
          <w:rFonts w:hint="eastAsia"/>
        </w:rPr>
        <w:t>の</w:t>
      </w:r>
      <w:r w:rsidR="00C92A10" w:rsidRPr="00753DCC">
        <w:rPr>
          <w:rFonts w:hint="eastAsia"/>
        </w:rPr>
        <w:t>構造や意味は</w:t>
      </w:r>
      <w:r w:rsidR="00C92A10" w:rsidRPr="00753DCC">
        <w:rPr>
          <w:rFonts w:hint="eastAsia"/>
        </w:rPr>
        <w:t>タクソノミで定義されています。そのため、タクソノミの維持変更管理と連動させることで、システムの維持管理を自動化すること</w:t>
      </w:r>
      <w:r w:rsidR="00C92A10">
        <w:rPr>
          <w:rFonts w:hint="eastAsia"/>
        </w:rPr>
        <w:t>も</w:t>
      </w:r>
      <w:r w:rsidR="00C92A10" w:rsidRPr="00753DCC">
        <w:rPr>
          <w:rFonts w:hint="eastAsia"/>
        </w:rPr>
        <w:t>できます。</w:t>
      </w:r>
    </w:p>
    <w:p w14:paraId="20D354E9" w14:textId="77777777" w:rsidR="00C92A10" w:rsidRPr="00753DCC" w:rsidRDefault="00C92A10" w:rsidP="00ED65A3">
      <w:pPr>
        <w:pStyle w:val="1"/>
      </w:pPr>
      <w:r>
        <w:rPr>
          <w:rFonts w:hint="eastAsia"/>
        </w:rPr>
        <w:t>電子請求書</w:t>
      </w:r>
      <w:r w:rsidRPr="00EB609C">
        <w:rPr>
          <w:rFonts w:hint="eastAsia"/>
        </w:rPr>
        <w:t>を契機とする会計のデジタル化</w:t>
      </w:r>
      <w:r w:rsidRPr="00753DCC">
        <w:rPr>
          <w:rFonts w:hint="eastAsia"/>
          <w:lang w:val="en-US"/>
        </w:rPr>
        <w:t> </w:t>
      </w:r>
    </w:p>
    <w:p w14:paraId="666D4556" w14:textId="09617E43" w:rsidR="00C92A10" w:rsidRPr="00753DCC" w:rsidRDefault="00C92A10" w:rsidP="00C92A10">
      <w:r>
        <w:rPr>
          <w:rFonts w:hint="eastAsia"/>
        </w:rPr>
        <w:t>電子請求書</w:t>
      </w:r>
      <w:r w:rsidRPr="00753DCC">
        <w:rPr>
          <w:rFonts w:hint="eastAsia"/>
        </w:rPr>
        <w:t>は、会計のデジタル化において重要な役割を果たしています。国際標準化機構（</w:t>
      </w:r>
      <w:r w:rsidRPr="00753DCC">
        <w:rPr>
          <w:rFonts w:hint="eastAsia"/>
          <w:lang w:val="en-US"/>
        </w:rPr>
        <w:t>ISO</w:t>
      </w:r>
      <w:r w:rsidRPr="00753DCC">
        <w:rPr>
          <w:rFonts w:hint="eastAsia"/>
        </w:rPr>
        <w:t>）の</w:t>
      </w:r>
      <w:r w:rsidRPr="00753DCC">
        <w:rPr>
          <w:rFonts w:hint="eastAsia"/>
          <w:lang w:val="en-US"/>
        </w:rPr>
        <w:t>ISO/TC 295</w:t>
      </w:r>
      <w:r>
        <w:rPr>
          <w:rFonts w:hint="eastAsia"/>
          <w:lang w:val="en-US"/>
        </w:rPr>
        <w:t xml:space="preserve">　</w:t>
      </w:r>
      <w:r w:rsidRPr="00753DCC">
        <w:rPr>
          <w:rFonts w:hint="eastAsia"/>
          <w:lang w:val="en-US"/>
        </w:rPr>
        <w:t>Audit data services</w:t>
      </w:r>
      <w:r w:rsidRPr="00753DCC">
        <w:rPr>
          <w:rFonts w:hint="eastAsia"/>
        </w:rPr>
        <w:t>では、請求書や帳簿データ、商取引文書などの重要な会計監査対象データを標準化するための取り組みが行われています。私は</w:t>
      </w:r>
      <w:r w:rsidRPr="00753DCC">
        <w:rPr>
          <w:rFonts w:hint="eastAsia"/>
          <w:lang w:val="en-US"/>
        </w:rPr>
        <w:t>ISO/TC 295</w:t>
      </w:r>
      <w:r w:rsidRPr="00753DCC">
        <w:rPr>
          <w:rFonts w:hint="eastAsia"/>
        </w:rPr>
        <w:t>の</w:t>
      </w:r>
      <w:r w:rsidRPr="00753DCC">
        <w:rPr>
          <w:rFonts w:hint="eastAsia"/>
          <w:lang w:val="en-US"/>
        </w:rPr>
        <w:t>Study group 1</w:t>
      </w:r>
      <w:r w:rsidRPr="00753DCC">
        <w:rPr>
          <w:rFonts w:hint="eastAsia"/>
        </w:rPr>
        <w:t>（</w:t>
      </w:r>
      <w:r w:rsidRPr="00753DCC">
        <w:rPr>
          <w:rFonts w:hint="eastAsia"/>
          <w:lang w:val="en-US"/>
        </w:rPr>
        <w:t>semantic model</w:t>
      </w:r>
      <w:r w:rsidRPr="00753DCC">
        <w:rPr>
          <w:rFonts w:hint="eastAsia"/>
        </w:rPr>
        <w:t>）の</w:t>
      </w:r>
      <w:r w:rsidRPr="00753DCC">
        <w:rPr>
          <w:rFonts w:hint="eastAsia"/>
          <w:lang w:val="en-US"/>
        </w:rPr>
        <w:t>Convener</w:t>
      </w:r>
      <w:r w:rsidRPr="00753DCC">
        <w:rPr>
          <w:rFonts w:hint="eastAsia"/>
        </w:rPr>
        <w:t>を務めており、異なる業界や国の会計データを共通のデータ形式で表現するために、</w:t>
      </w:r>
      <w:r>
        <w:rPr>
          <w:rFonts w:hint="eastAsia"/>
        </w:rPr>
        <w:t>論理モデル</w:t>
      </w:r>
      <w:r w:rsidRPr="00753DCC">
        <w:rPr>
          <w:rFonts w:hint="eastAsia"/>
        </w:rPr>
        <w:t>の定義に取り組んでいます。</w:t>
      </w:r>
    </w:p>
    <w:p w14:paraId="0909D427" w14:textId="77777777" w:rsidR="00C92A10" w:rsidRPr="00753DCC" w:rsidRDefault="00C92A10" w:rsidP="00C92A10">
      <w:r w:rsidRPr="00753DCC">
        <w:rPr>
          <w:rFonts w:hint="eastAsia"/>
        </w:rPr>
        <w:t>これにより、会計データの標準化インタフェースを提供するために、標準データ形式を使用し、タクソノミを利用して会計のデジタル化を実現</w:t>
      </w:r>
      <w:r>
        <w:rPr>
          <w:rFonts w:hint="eastAsia"/>
        </w:rPr>
        <w:t>すべく草案作成中で</w:t>
      </w:r>
      <w:r w:rsidRPr="00753DCC">
        <w:rPr>
          <w:rFonts w:hint="eastAsia"/>
        </w:rPr>
        <w:t>す。</w:t>
      </w:r>
      <w:r>
        <w:rPr>
          <w:rFonts w:hint="eastAsia"/>
        </w:rPr>
        <w:t>なかでも</w:t>
      </w:r>
      <w:r w:rsidRPr="00753DCC">
        <w:rPr>
          <w:rFonts w:hint="eastAsia"/>
        </w:rPr>
        <w:t>、</w:t>
      </w:r>
      <w:r>
        <w:rPr>
          <w:rFonts w:hint="eastAsia"/>
        </w:rPr>
        <w:t>電子請求書</w:t>
      </w:r>
      <w:r w:rsidRPr="00753DCC">
        <w:rPr>
          <w:rFonts w:hint="eastAsia"/>
        </w:rPr>
        <w:t>は、会計データの標準化に向けた重要な一歩となっています。</w:t>
      </w:r>
    </w:p>
    <w:p w14:paraId="591CA2D3" w14:textId="77777777" w:rsidR="00C92A10" w:rsidRPr="00753DCC" w:rsidRDefault="00C92A10" w:rsidP="00ED65A3">
      <w:pPr>
        <w:pStyle w:val="1"/>
      </w:pPr>
      <w:r w:rsidRPr="00753DCC">
        <w:rPr>
          <w:rFonts w:hint="eastAsia"/>
        </w:rPr>
        <w:t>中小企業にとっての</w:t>
      </w:r>
      <w:r>
        <w:rPr>
          <w:rFonts w:hint="eastAsia"/>
        </w:rPr>
        <w:t>コアインボイス　ゲートウェイ</w:t>
      </w:r>
      <w:r w:rsidRPr="00753DCC">
        <w:rPr>
          <w:rFonts w:hint="eastAsia"/>
        </w:rPr>
        <w:t>と構文バインディング</w:t>
      </w:r>
    </w:p>
    <w:p w14:paraId="3A9F5D82" w14:textId="77777777" w:rsidR="00C92A10" w:rsidRPr="00753DCC" w:rsidRDefault="00C92A10" w:rsidP="00C92A10">
      <w:r>
        <w:rPr>
          <w:rFonts w:hint="eastAsia"/>
        </w:rPr>
        <w:t>コアインボイス　ゲートウェイ</w:t>
      </w:r>
      <w:r w:rsidRPr="00753DCC">
        <w:rPr>
          <w:rFonts w:hint="eastAsia"/>
        </w:rPr>
        <w:t>と構文バインディングは、中小企業にとって請求書の作成や取引先とのやりとりを効率化するために重要なツールです。</w:t>
      </w:r>
      <w:r>
        <w:rPr>
          <w:rFonts w:hint="eastAsia"/>
        </w:rPr>
        <w:t>コアインボイス　ゲートウェイ</w:t>
      </w:r>
      <w:r w:rsidRPr="00753DCC">
        <w:rPr>
          <w:rFonts w:hint="eastAsia"/>
        </w:rPr>
        <w:t>は、異なる</w:t>
      </w:r>
      <w:r>
        <w:rPr>
          <w:rFonts w:hint="eastAsia"/>
        </w:rPr>
        <w:t>形式</w:t>
      </w:r>
      <w:r w:rsidRPr="00753DCC">
        <w:rPr>
          <w:rFonts w:hint="eastAsia"/>
        </w:rPr>
        <w:t>の請求書を統一的に処理し、請求書の標準化を促進します。一方、構文バインディングは、データを自動的に抽出し、正確な情報を含んだ請求書を作成することで、請求書作成の手間やミスを削</w:t>
      </w:r>
      <w:r w:rsidRPr="00753DCC">
        <w:rPr>
          <w:rFonts w:hint="eastAsia"/>
        </w:rPr>
        <w:lastRenderedPageBreak/>
        <w:t>減し、業務の効率化を図ることができます。</w:t>
      </w:r>
    </w:p>
    <w:p w14:paraId="0ED30A70" w14:textId="77777777" w:rsidR="00C92A10" w:rsidRDefault="00C92A10" w:rsidP="00C92A10">
      <w:r w:rsidRPr="00753DCC">
        <w:rPr>
          <w:rFonts w:hint="eastAsia"/>
        </w:rPr>
        <w:t>さらに、会計データの標準化や共通の</w:t>
      </w:r>
      <w:r w:rsidRPr="00753DCC">
        <w:rPr>
          <w:rFonts w:hint="eastAsia"/>
          <w:lang w:val="en-US"/>
        </w:rPr>
        <w:t>CSV</w:t>
      </w:r>
      <w:r w:rsidRPr="00753DCC">
        <w:rPr>
          <w:rFonts w:hint="eastAsia"/>
        </w:rPr>
        <w:t>インタフェースの導入により、中小企業は取引先とのビジネス関係を改善することができます。共通のインタフェースを使用することで、データのやり取りがスムーズに行われ、取引先とのコミュニケーションも円滑になります。また、会計データの標準化により、会計処理の効率化や精度向上が期待できます。</w:t>
      </w:r>
      <w:r>
        <w:rPr>
          <w:rFonts w:hint="eastAsia"/>
        </w:rPr>
        <w:t>ここに示した図は、後述する北欧スマート政府のアーキテクチャを参考にしています。</w:t>
      </w:r>
    </w:p>
    <w:p w14:paraId="3E6855DE" w14:textId="45862DF0" w:rsidR="00C92A10" w:rsidRPr="00753DCC" w:rsidRDefault="00C92A10" w:rsidP="00C92A10">
      <w:r w:rsidRPr="00753DCC">
        <w:rPr>
          <w:rFonts w:hint="eastAsia"/>
        </w:rPr>
        <w:t>中小企業にとって、</w:t>
      </w:r>
      <w:r>
        <w:rPr>
          <w:rFonts w:hint="eastAsia"/>
        </w:rPr>
        <w:t>コアインボイス　ゲートウェイ</w:t>
      </w:r>
      <w:r w:rsidRPr="00753DCC">
        <w:rPr>
          <w:rFonts w:hint="eastAsia"/>
        </w:rPr>
        <w:t>と構文バインディングの取り組みは大きなメリットがあります。効率的な業務処理やビジネス関係の改善により、企業の業績向上が期待できます。また、税理士は、会計データの標準化や共通インタフェースの導入に関するアドバイスや支援を提供することで、企業の経営に貢献することができます。税務申告や決算書作成に加えて、企業の業務プロセスの改善にも取り組むことで、より総合的なサポートを提供することができます。</w:t>
      </w:r>
    </w:p>
    <w:p w14:paraId="43B304CF" w14:textId="20499B67" w:rsidR="00C92A10" w:rsidRPr="00753DCC" w:rsidRDefault="00C92A10" w:rsidP="00C92A10">
      <w:r w:rsidRPr="00753DCC">
        <w:rPr>
          <w:rFonts w:hint="eastAsia"/>
        </w:rPr>
        <w:t>中小企業は、リソースや予算に限りがある場合がありますが、</w:t>
      </w:r>
      <w:r>
        <w:rPr>
          <w:rFonts w:hint="eastAsia"/>
        </w:rPr>
        <w:t>コアインボイス　ゲートウェイ</w:t>
      </w:r>
      <w:r w:rsidRPr="00753DCC">
        <w:rPr>
          <w:rFonts w:hint="eastAsia"/>
        </w:rPr>
        <w:t>や構文バインディングを活用することで、デジタル化のメリットを享受することができます。これらのツールや取り組みを活用することで、効率化、正確性の向上、ビジネス関係の改善など、中小企業の経営にプラスの影響をもたらすことが期待されます。</w:t>
      </w:r>
    </w:p>
    <w:p w14:paraId="45CC46E6" w14:textId="313E0959" w:rsidR="00C92A10" w:rsidRDefault="00C92A10" w:rsidP="00C92A10">
      <w:pPr>
        <w:rPr>
          <w:lang w:val="en-US"/>
        </w:rPr>
      </w:pPr>
      <w:r w:rsidRPr="00753DCC">
        <w:rPr>
          <w:rFonts w:hint="eastAsia"/>
        </w:rPr>
        <w:t>中小企業の経営者や税理士は、</w:t>
      </w:r>
      <w:r>
        <w:rPr>
          <w:rFonts w:hint="eastAsia"/>
        </w:rPr>
        <w:t>電子請求書</w:t>
      </w:r>
      <w:r w:rsidRPr="00753DCC">
        <w:rPr>
          <w:rFonts w:hint="eastAsia"/>
        </w:rPr>
        <w:t>やその他の関連技術の動向に注意を払いながら、自社の業務プロセスを見直し、効率化やデジタル化への取り組みを進めることが重要です。これにより、競争力の強化やビジネスの成長を実現することができるでしょう。</w:t>
      </w:r>
    </w:p>
    <w:p w14:paraId="48C8CD41" w14:textId="1FE18C93" w:rsidR="00C92A10" w:rsidRDefault="00C92A10" w:rsidP="00ED65A3">
      <w:pPr>
        <w:pStyle w:val="1"/>
        <w:rPr>
          <w:lang w:val="en-US"/>
        </w:rPr>
      </w:pPr>
      <w:r>
        <w:rPr>
          <w:rFonts w:hint="eastAsia"/>
          <w:lang w:val="en-US"/>
        </w:rPr>
        <w:t>北欧スマート政府事例</w:t>
      </w:r>
    </w:p>
    <w:p w14:paraId="5A771F70" w14:textId="3BF9CCA8" w:rsidR="00C92A10" w:rsidRPr="00E61A65" w:rsidRDefault="00C92A10" w:rsidP="00C92A10">
      <w:pPr>
        <w:rPr>
          <w:lang w:val="en-US"/>
        </w:rPr>
      </w:pPr>
      <w:r w:rsidRPr="001B2C97">
        <w:rPr>
          <w:rFonts w:hint="eastAsia"/>
          <w:lang w:val="en-US"/>
        </w:rPr>
        <w:t>北欧スマート政府の参加国はデンマーク、スウェーデン、ノルウェー、フィンランド、アイスランドです。</w:t>
      </w:r>
      <w:r w:rsidRPr="00E61A65">
        <w:rPr>
          <w:rFonts w:hint="eastAsia"/>
          <w:lang w:val="en-US"/>
        </w:rPr>
        <w:t>それぞれの国は、スマート政府の推進とデジタル化を重視しており、中小企業を支援するためのポータルサービスやデジタル手続きを提供しています。首相を中心とした政府のリーダーシップのもと、北欧諸国はデジタル社会の先進国として知られています。北欧スマート政府の参加国のうち、フィンランドの首相であるサンナ・マリンは女性です。彼女は</w:t>
      </w:r>
      <w:r w:rsidRPr="00E61A65">
        <w:rPr>
          <w:lang w:val="en-US"/>
        </w:rPr>
        <w:t>20</w:t>
      </w:r>
      <w:r>
        <w:rPr>
          <w:lang w:val="en-US"/>
        </w:rPr>
        <w:t>19</w:t>
      </w:r>
      <w:r w:rsidRPr="00E61A65">
        <w:rPr>
          <w:lang w:val="en-US"/>
        </w:rPr>
        <w:t>年12月からフィンランドの首相を務めており、国際的にも注目を集めています。また、メッテ・フレデリクセン（デンマーク）</w:t>
      </w:r>
      <w:r>
        <w:rPr>
          <w:rFonts w:hint="eastAsia"/>
          <w:lang w:val="en-US"/>
        </w:rPr>
        <w:t>も</w:t>
      </w:r>
      <w:r w:rsidRPr="00E61A65">
        <w:rPr>
          <w:lang w:val="en-US"/>
        </w:rPr>
        <w:t>女性の首相</w:t>
      </w:r>
      <w:r>
        <w:rPr>
          <w:rFonts w:hint="eastAsia"/>
          <w:lang w:val="en-US"/>
        </w:rPr>
        <w:t>で</w:t>
      </w:r>
      <w:r w:rsidRPr="00E61A65">
        <w:rPr>
          <w:lang w:val="en-US"/>
        </w:rPr>
        <w:t>す。北欧諸国は、ジェン</w:t>
      </w:r>
      <w:r w:rsidRPr="00E61A65">
        <w:rPr>
          <w:lang w:val="en-US"/>
        </w:rPr>
        <w:t>ダー平等と女性のリーダーシップを重視しており、女性が政治や経済のトップに就く機会を提供しています。</w:t>
      </w:r>
    </w:p>
    <w:p w14:paraId="26FDE9F3" w14:textId="22505F23" w:rsidR="00C92A10" w:rsidRPr="00B82E2A" w:rsidRDefault="00C92A10" w:rsidP="00C92A10">
      <w:pPr>
        <w:rPr>
          <w:lang w:val="en-US"/>
        </w:rPr>
      </w:pPr>
      <w:r w:rsidRPr="00B82E2A">
        <w:rPr>
          <w:rFonts w:hint="eastAsia"/>
          <w:lang w:val="en-US"/>
        </w:rPr>
        <w:t>フィンランドでは、中小企業がスマート政府のポータルサービス</w:t>
      </w:r>
      <w:r w:rsidR="00EB244C">
        <w:rPr>
          <w:rStyle w:val="ac"/>
          <w:lang w:val="en-US"/>
        </w:rPr>
        <w:endnoteReference w:id="9"/>
      </w:r>
      <w:r w:rsidRPr="00B82E2A">
        <w:rPr>
          <w:rFonts w:hint="eastAsia"/>
          <w:lang w:val="en-US"/>
        </w:rPr>
        <w:t>を通じて会計処理や納税申告を含むさまざまな手続きを行うことができます。ポータル上で会計ソフトウェアにアクセスし、請求書や経費の入力、売上の管理などを行うことができます。また、納税申告もオンラインで行え、税金の支払いもポータル上で行うことができます。これにより、中小企業は煩雑な紙ベースの手続きを省略し、効率的な会計処理と納税申告を行うことができます。</w:t>
      </w:r>
    </w:p>
    <w:p w14:paraId="0048500C" w14:textId="26A7BF23" w:rsidR="00375D46" w:rsidRDefault="00C92A10" w:rsidP="00BB683D">
      <w:pPr>
        <w:jc w:val="right"/>
      </w:pPr>
      <w:r>
        <w:rPr>
          <w:rFonts w:hint="eastAsia"/>
        </w:rPr>
        <w:t>■</w:t>
      </w:r>
    </w:p>
    <w:sectPr w:rsidR="00375D46" w:rsidSect="00F25BFB">
      <w:pgSz w:w="11906" w:h="16838"/>
      <w:pgMar w:top="720" w:right="1008" w:bottom="720" w:left="1008" w:header="0" w:footer="0"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51486" w14:textId="77777777" w:rsidR="00DD78F4" w:rsidRDefault="00DD78F4" w:rsidP="00F25BFB">
      <w:pPr>
        <w:spacing w:before="0"/>
      </w:pPr>
      <w:r>
        <w:separator/>
      </w:r>
    </w:p>
  </w:endnote>
  <w:endnote w:type="continuationSeparator" w:id="0">
    <w:p w14:paraId="350EA480" w14:textId="77777777" w:rsidR="00DD78F4" w:rsidRDefault="00DD78F4" w:rsidP="00F25BFB">
      <w:pPr>
        <w:spacing w:before="0"/>
      </w:pPr>
      <w:r>
        <w:continuationSeparator/>
      </w:r>
    </w:p>
  </w:endnote>
  <w:endnote w:id="1">
    <w:p w14:paraId="374B2E0D" w14:textId="18B4357F" w:rsidR="00E26E67" w:rsidRDefault="00E26E67" w:rsidP="00E26E67">
      <w:pPr>
        <w:pStyle w:val="aa"/>
      </w:pPr>
      <w:r>
        <w:rPr>
          <w:rStyle w:val="ac"/>
        </w:rPr>
        <w:endnoteRef/>
      </w:r>
      <w:r>
        <w:t xml:space="preserve"> </w:t>
      </w:r>
      <w:r w:rsidR="00102BA3">
        <w:rPr>
          <w:rFonts w:hint="eastAsia"/>
        </w:rPr>
        <w:t>『</w:t>
      </w:r>
      <w:r>
        <w:rPr>
          <w:rFonts w:hint="eastAsia"/>
        </w:rPr>
        <w:t>デジタル庁は、官民連携のもと、グローバルな標準仕様である「</w:t>
      </w:r>
      <w:r>
        <w:t>Peppol（ペポル）」をベースとしたわが国におけるデジタルインボイスの標準仕様（JP PINT）の普及・定着の取組を行い、事業者のバックオフィス業務のデジタル完結による効率化の実現を目指しています。</w:t>
      </w:r>
    </w:p>
    <w:p w14:paraId="56CF6698" w14:textId="1C869E2D" w:rsidR="00E26E67" w:rsidRDefault="00E26E67" w:rsidP="00D01997">
      <w:pPr>
        <w:pStyle w:val="aa"/>
      </w:pPr>
      <w:r>
        <w:t>「Peppol（Pan European Public Procurement Online）」とは、電子文書をネットワーク上でやり取りするための「文書仕様」「ネットワーク」「運用ルール」に関するグローバルな標準仕様です。国際的な非営利組織である「OpenPeppol」という団体により管理されています。</w:t>
      </w:r>
      <w:r w:rsidR="00102BA3">
        <w:rPr>
          <w:rFonts w:hint="eastAsia"/>
        </w:rPr>
        <w:t>』</w:t>
      </w:r>
    </w:p>
    <w:p w14:paraId="28FBACBE" w14:textId="47EC6302" w:rsidR="008A624D" w:rsidRDefault="0000278E" w:rsidP="003000F1">
      <w:pPr>
        <w:pStyle w:val="aa"/>
        <w:jc w:val="left"/>
      </w:pPr>
      <w:r>
        <w:rPr>
          <w:rFonts w:hint="eastAsia"/>
        </w:rPr>
        <w:t>デジタル庁</w:t>
      </w:r>
      <w:r w:rsidRPr="0000278E">
        <w:t>. (令和</w:t>
      </w:r>
      <w:r>
        <w:rPr>
          <w:rFonts w:hint="eastAsia"/>
        </w:rPr>
        <w:t>5</w:t>
      </w:r>
      <w:r w:rsidRPr="0000278E">
        <w:t xml:space="preserve">年). </w:t>
      </w:r>
      <w:r w:rsidR="001F52A3" w:rsidRPr="001F52A3">
        <w:t>JP PINT</w:t>
      </w:r>
      <w:r w:rsidRPr="0000278E">
        <w:t xml:space="preserve">. </w:t>
      </w:r>
      <w:r w:rsidR="004D72EC">
        <w:rPr>
          <w:rFonts w:hint="eastAsia"/>
        </w:rPr>
        <w:t>デジタル庁</w:t>
      </w:r>
      <w:r w:rsidRPr="0000278E">
        <w:t>. 取得日：2023年5月1</w:t>
      </w:r>
      <w:r w:rsidR="004D72EC">
        <w:t>5</w:t>
      </w:r>
      <w:r w:rsidRPr="0000278E">
        <w:t>日. 取得元URL:</w:t>
      </w:r>
      <w:r w:rsidR="004D72EC" w:rsidDel="004D72EC">
        <w:rPr>
          <w:rFonts w:hint="eastAsia"/>
        </w:rPr>
        <w:t xml:space="preserve"> </w:t>
      </w:r>
      <w:r w:rsidR="008A624D" w:rsidRPr="00E54507">
        <w:t>https://www.digital.go.jp/policies/electronic_invoice</w:t>
      </w:r>
    </w:p>
  </w:endnote>
  <w:endnote w:id="2">
    <w:p w14:paraId="4C7D48AA" w14:textId="116EE8E0" w:rsidR="00F25BFB" w:rsidRDefault="00F25BFB">
      <w:pPr>
        <w:pStyle w:val="aa"/>
      </w:pPr>
      <w:r>
        <w:rPr>
          <w:rStyle w:val="ac"/>
        </w:rPr>
        <w:endnoteRef/>
      </w:r>
      <w:r>
        <w:t xml:space="preserve"> </w:t>
      </w:r>
      <w:r w:rsidRPr="00ED2D71">
        <w:rPr>
          <w:rFonts w:hint="eastAsia"/>
        </w:rPr>
        <w:t>日本版コアインボイスは、欧州規格のコアインボイス（</w:t>
      </w:r>
      <w:r w:rsidRPr="00ED2D71">
        <w:t>Core Invoice Usage Specification）に触発されて命名</w:t>
      </w:r>
      <w:r>
        <w:rPr>
          <w:rFonts w:hint="eastAsia"/>
        </w:rPr>
        <w:t>し</w:t>
      </w:r>
      <w:r w:rsidRPr="00ED2D71">
        <w:t>ました。欧州規格のコアインボイスは、欧州で使用されている電子請求書の標準形式です。</w:t>
      </w:r>
    </w:p>
  </w:endnote>
  <w:endnote w:id="3">
    <w:p w14:paraId="79AAD72A" w14:textId="12F9EE47" w:rsidR="006D2BD5" w:rsidRDefault="00245904" w:rsidP="006D2BD5">
      <w:pPr>
        <w:pStyle w:val="aa"/>
      </w:pPr>
      <w:r>
        <w:rPr>
          <w:rStyle w:val="ac"/>
        </w:rPr>
        <w:endnoteRef/>
      </w:r>
      <w:r>
        <w:t xml:space="preserve"> </w:t>
      </w:r>
      <w:r w:rsidR="00901142">
        <w:rPr>
          <w:rFonts w:hint="eastAsia"/>
        </w:rPr>
        <w:t>構文バインディングは、</w:t>
      </w:r>
      <w:r w:rsidR="006D2BD5">
        <w:t>電子請求書の標準化に関する技術仕様書</w:t>
      </w:r>
      <w:r w:rsidR="00901142">
        <w:t>CEN/TS 16931</w:t>
      </w:r>
      <w:r w:rsidR="00E53F37">
        <w:t>-3</w:t>
      </w:r>
      <w:r w:rsidR="009A7814">
        <w:rPr>
          <w:rFonts w:hint="eastAsia"/>
        </w:rPr>
        <w:t>シリーズ</w:t>
      </w:r>
      <w:r w:rsidR="00E53F37">
        <w:rPr>
          <w:rFonts w:hint="eastAsia"/>
        </w:rPr>
        <w:t>を参考にして</w:t>
      </w:r>
      <w:r w:rsidR="009A7814">
        <w:rPr>
          <w:rFonts w:hint="eastAsia"/>
        </w:rPr>
        <w:t>おり、コアインボイス　ゲートウェイの構文バインディングは、</w:t>
      </w:r>
      <w:r w:rsidR="009A7814">
        <w:t>CEN/TS 16931-3-1</w:t>
      </w:r>
      <w:r w:rsidR="009A7814">
        <w:rPr>
          <w:rFonts w:hint="eastAsia"/>
        </w:rPr>
        <w:t>の考え方に倣っています。</w:t>
      </w:r>
    </w:p>
    <w:p w14:paraId="2A0D6556" w14:textId="77777777" w:rsidR="006D2BD5" w:rsidRDefault="006D2BD5" w:rsidP="006D2BD5">
      <w:pPr>
        <w:pStyle w:val="aa"/>
      </w:pPr>
      <w:r>
        <w:t>CEN/TS 16931-3-1 (Conceptual Model):</w:t>
      </w:r>
    </w:p>
    <w:p w14:paraId="08E8E92A" w14:textId="74286B7F" w:rsidR="006D2BD5" w:rsidRDefault="006D2BD5" w:rsidP="006D2BD5">
      <w:pPr>
        <w:pStyle w:val="aa"/>
      </w:pPr>
      <w:r>
        <w:t>CEN/TS 16931-3-1は、</w:t>
      </w:r>
      <w:r w:rsidR="0079669F">
        <w:t>EN 16931-1の論理モデルを</w:t>
      </w:r>
      <w:r w:rsidR="00CC36FF">
        <w:rPr>
          <w:rFonts w:hint="eastAsia"/>
        </w:rPr>
        <w:t>それぞれのX</w:t>
      </w:r>
      <w:r w:rsidR="00CC36FF">
        <w:t>ML</w:t>
      </w:r>
      <w:r w:rsidR="00CC36FF">
        <w:rPr>
          <w:rFonts w:hint="eastAsia"/>
        </w:rPr>
        <w:t>構文に対応付ける際</w:t>
      </w:r>
      <w:r w:rsidR="00CD516C">
        <w:rPr>
          <w:rFonts w:hint="eastAsia"/>
        </w:rPr>
        <w:t>に留意すべき事柄や対応定義の記述方法を規定しています。構文バインディングの考え方がここで規定されています。</w:t>
      </w:r>
      <w:r w:rsidR="00330C1A">
        <w:t>EN 16931-1の論理モデル</w:t>
      </w:r>
      <w:r w:rsidR="00330C1A">
        <w:rPr>
          <w:rFonts w:hint="eastAsia"/>
        </w:rPr>
        <w:t>（コアインボイス）</w:t>
      </w:r>
      <w:r>
        <w:t>は、請求書に含まれる情報の意味と関係を定義し、共通の理解を提供します。具体的には、請求書の構成要素や属性、請求書と関連するビジネスプロセスについて説明されています。</w:t>
      </w:r>
      <w:r w:rsidR="00BA7155" w:rsidRPr="00ED2D71">
        <w:rPr>
          <w:rFonts w:hint="eastAsia"/>
        </w:rPr>
        <w:t>日本版コア</w:t>
      </w:r>
      <w:r w:rsidR="00BA7155">
        <w:rPr>
          <w:rFonts w:hint="eastAsia"/>
        </w:rPr>
        <w:t>インボイスはこの</w:t>
      </w:r>
      <w:r w:rsidR="00AA2E1C">
        <w:rPr>
          <w:rFonts w:hint="eastAsia"/>
        </w:rPr>
        <w:t>概念モデル</w:t>
      </w:r>
      <w:r w:rsidR="00BA7155">
        <w:rPr>
          <w:rFonts w:hint="eastAsia"/>
        </w:rPr>
        <w:t>を参考にして、拡張定義しました。</w:t>
      </w:r>
    </w:p>
    <w:p w14:paraId="6A45B8DC" w14:textId="77777777" w:rsidR="006D2BD5" w:rsidRDefault="006D2BD5" w:rsidP="006D2BD5">
      <w:pPr>
        <w:pStyle w:val="aa"/>
      </w:pPr>
      <w:r>
        <w:t>CEN/TS 16931-3-2 (Syntax Binding with UBL 2.1):</w:t>
      </w:r>
    </w:p>
    <w:p w14:paraId="21B0BEBD" w14:textId="616F09AE" w:rsidR="000773C6" w:rsidRDefault="006D2BD5" w:rsidP="006D2BD5">
      <w:pPr>
        <w:pStyle w:val="aa"/>
      </w:pPr>
      <w:r>
        <w:t>CEN/TS 16931-3-2は、</w:t>
      </w:r>
      <w:r w:rsidR="001A74B8">
        <w:t>EN 16931-1</w:t>
      </w:r>
      <w:r w:rsidR="00237E2A">
        <w:t>の論理モデル</w:t>
      </w:r>
      <w:r>
        <w:t>をUBL 2.1というXMLベースのデータ交換形式との間でバインディングするための規格です。これにより、UBL 2.1のデータ要素と</w:t>
      </w:r>
      <w:r w:rsidR="001A74B8">
        <w:t>EN 16931-1</w:t>
      </w:r>
      <w:r w:rsidR="00237E2A">
        <w:t>の論理モデル</w:t>
      </w:r>
      <w:r>
        <w:t>が関連付けられ、電子請求書のデータ交換が容易になります。</w:t>
      </w:r>
    </w:p>
    <w:p w14:paraId="0FD1D081" w14:textId="314791CA" w:rsidR="006D2BD5" w:rsidRDefault="006D2BD5" w:rsidP="006D2BD5">
      <w:pPr>
        <w:pStyle w:val="aa"/>
      </w:pPr>
      <w:r>
        <w:t>UBL 2.1は、</w:t>
      </w:r>
      <w:r w:rsidR="000773C6">
        <w:rPr>
          <w:rFonts w:hint="eastAsia"/>
        </w:rPr>
        <w:t>JP PINTで採用されています</w:t>
      </w:r>
      <w:r>
        <w:t>。</w:t>
      </w:r>
    </w:p>
    <w:p w14:paraId="3778A774" w14:textId="77777777" w:rsidR="006D2BD5" w:rsidRDefault="006D2BD5" w:rsidP="006D2BD5">
      <w:pPr>
        <w:pStyle w:val="aa"/>
      </w:pPr>
      <w:r>
        <w:t>CEN/TS 16931-3-3 (Syntax Binding with UN/CEFACT CII D16B):</w:t>
      </w:r>
    </w:p>
    <w:p w14:paraId="2ABCDD64" w14:textId="7147E1FA" w:rsidR="006D2BD5" w:rsidRDefault="006D2BD5" w:rsidP="006D2BD5">
      <w:pPr>
        <w:pStyle w:val="aa"/>
      </w:pPr>
      <w:r>
        <w:t>CEN/TS 16931-3-3は、</w:t>
      </w:r>
      <w:r w:rsidR="001A74B8">
        <w:t>EN 16931-1</w:t>
      </w:r>
      <w:r w:rsidR="00237E2A">
        <w:t>の論理モデル</w:t>
      </w:r>
      <w:r>
        <w:t>をUN/CEFACT CII D16BというEDIメッセージの形式との間でバインディングするための規格です。UN/CEFACT CII D16Bは、国際的に使用されているEDIメッセージの標準形式であり、CEN/TS 16931との統合により、異なるシステム間でのデータ交換が容易になります。</w:t>
      </w:r>
    </w:p>
    <w:p w14:paraId="61BE7A09" w14:textId="201972D0" w:rsidR="00F04205" w:rsidRDefault="00F04205" w:rsidP="006D2BD5">
      <w:pPr>
        <w:pStyle w:val="aa"/>
      </w:pPr>
      <w:r>
        <w:rPr>
          <w:rFonts w:hint="eastAsia"/>
        </w:rPr>
        <w:t>中小企業共通E</w:t>
      </w:r>
      <w:r>
        <w:t>DI</w:t>
      </w:r>
      <w:r>
        <w:rPr>
          <w:rFonts w:hint="eastAsia"/>
        </w:rPr>
        <w:t>は、電子請求書だけでなく</w:t>
      </w:r>
      <w:r>
        <w:t>UN/CEFACT CII</w:t>
      </w:r>
      <w:r>
        <w:rPr>
          <w:rFonts w:hint="eastAsia"/>
        </w:rPr>
        <w:t>で規定している発注書、納品書などの業務文書を最新版のD</w:t>
      </w:r>
      <w:r>
        <w:t>22B</w:t>
      </w:r>
      <w:r>
        <w:rPr>
          <w:rFonts w:hint="eastAsia"/>
        </w:rPr>
        <w:t>に基づいて規定しています。</w:t>
      </w:r>
    </w:p>
    <w:p w14:paraId="46F49AD7" w14:textId="6A950B54" w:rsidR="007B5528" w:rsidRDefault="006D2BD5" w:rsidP="006D2BD5">
      <w:pPr>
        <w:pStyle w:val="aa"/>
      </w:pPr>
      <w:r>
        <w:rPr>
          <w:rFonts w:hint="eastAsia"/>
        </w:rPr>
        <w:t>これらの</w:t>
      </w:r>
      <w:r>
        <w:t>CEN/TS 16931の部分は、電子請求書の標準化を推進し、異なる業界やシステム間でのデータの一貫性と相互運用性を実現するために重要です。さまざまな企業や組織がこれらの規格に</w:t>
      </w:r>
      <w:r w:rsidR="000E49C1" w:rsidRPr="000E49C1">
        <w:rPr>
          <w:rFonts w:hint="eastAsia"/>
        </w:rPr>
        <w:t>適合することで、効率的な請求書の作成と処理、データの共有や交換が実現されます。</w:t>
      </w:r>
    </w:p>
  </w:endnote>
  <w:endnote w:id="4">
    <w:p w14:paraId="00BFD186" w14:textId="53A79667" w:rsidR="008D0AC9" w:rsidRDefault="00971840" w:rsidP="008D0AC9">
      <w:pPr>
        <w:pStyle w:val="aa"/>
      </w:pPr>
      <w:r>
        <w:rPr>
          <w:rStyle w:val="ac"/>
        </w:rPr>
        <w:endnoteRef/>
      </w:r>
      <w:r>
        <w:t xml:space="preserve"> </w:t>
      </w:r>
      <w:r w:rsidR="00102BA3">
        <w:rPr>
          <w:rFonts w:hint="eastAsia"/>
        </w:rPr>
        <w:t>『</w:t>
      </w:r>
      <w:r w:rsidR="008D0AC9">
        <w:rPr>
          <w:rFonts w:hint="eastAsia"/>
        </w:rPr>
        <w:t>中小企業共通</w:t>
      </w:r>
      <w:r w:rsidR="008D0AC9">
        <w:t>EDIとは、ITの利用に不慣れな中小企業でも、簡単・便利・低コストに受発注業務のIT化を実現できる汎用性の高い仕組みです。</w:t>
      </w:r>
    </w:p>
    <w:p w14:paraId="59D5A079" w14:textId="37026F04" w:rsidR="008D0AC9" w:rsidRDefault="008D0AC9" w:rsidP="008D0AC9">
      <w:pPr>
        <w:pStyle w:val="aa"/>
      </w:pPr>
      <w:r>
        <w:rPr>
          <w:rFonts w:hint="eastAsia"/>
        </w:rPr>
        <w:t>受発注業務が中小企業共通</w:t>
      </w:r>
      <w:r>
        <w:t>EDIにより標準化されることで、取引先ごとに用意していた専門端末や用紙が不要となり、山積みになっていた伝票をデータで一元的に管理できるなど、中小企業が抱える受発注業務のIT化に係る問題を解決するとともに、①業務効率アップでコスト削減②人的ミスを軽減③過去現在の取引データの検索の簡素化を実現できます。</w:t>
      </w:r>
      <w:r w:rsidR="00102BA3">
        <w:rPr>
          <w:rFonts w:hint="eastAsia"/>
        </w:rPr>
        <w:t>』</w:t>
      </w:r>
    </w:p>
    <w:p w14:paraId="4D36B973" w14:textId="737A34E5" w:rsidR="00971840" w:rsidRDefault="008D0AC9" w:rsidP="008D0AC9">
      <w:pPr>
        <w:pStyle w:val="aa"/>
      </w:pPr>
      <w:r>
        <w:rPr>
          <w:rFonts w:hint="eastAsia"/>
        </w:rPr>
        <w:t>（</w:t>
      </w:r>
      <w:r>
        <w:t>EDI＝Electronic Data Interchange,電子データ交換）</w:t>
      </w:r>
    </w:p>
    <w:p w14:paraId="211B32CD" w14:textId="76218912" w:rsidR="008D0AC9" w:rsidRPr="0027231B" w:rsidRDefault="003D1A37" w:rsidP="00DD4167">
      <w:pPr>
        <w:pStyle w:val="aa"/>
        <w:jc w:val="left"/>
      </w:pPr>
      <w:r>
        <w:rPr>
          <w:rFonts w:hint="eastAsia"/>
        </w:rPr>
        <w:t>中小企業庁</w:t>
      </w:r>
      <w:r w:rsidR="0017458C" w:rsidRPr="0000278E">
        <w:t>. (令和</w:t>
      </w:r>
      <w:r w:rsidR="0017458C">
        <w:rPr>
          <w:rFonts w:hint="eastAsia"/>
        </w:rPr>
        <w:t>5</w:t>
      </w:r>
      <w:r w:rsidR="0017458C" w:rsidRPr="0000278E">
        <w:t>年).</w:t>
      </w:r>
      <w:r w:rsidR="0097474F">
        <w:rPr>
          <w:rFonts w:hint="eastAsia"/>
        </w:rPr>
        <w:t>中小企業共通</w:t>
      </w:r>
      <w:r w:rsidR="0075779E">
        <w:rPr>
          <w:rFonts w:hint="eastAsia"/>
        </w:rPr>
        <w:t>E</w:t>
      </w:r>
      <w:r w:rsidR="0075779E">
        <w:t>DI</w:t>
      </w:r>
      <w:r w:rsidR="0075779E">
        <w:rPr>
          <w:rFonts w:hint="eastAsia"/>
        </w:rPr>
        <w:t>、</w:t>
      </w:r>
      <w:r w:rsidR="0075779E" w:rsidRPr="0000278E">
        <w:t>取得日：2023年5月1</w:t>
      </w:r>
      <w:r w:rsidR="0075779E">
        <w:t>5</w:t>
      </w:r>
      <w:r w:rsidR="0075779E" w:rsidRPr="0000278E">
        <w:t>日. 取得元URL:</w:t>
      </w:r>
      <w:r w:rsidRPr="0027231B">
        <w:t xml:space="preserve"> </w:t>
      </w:r>
      <w:r w:rsidR="00813752" w:rsidRPr="0027231B">
        <w:t>https://www.chusho.meti.go.jp/keiei/gijut/edi.htm</w:t>
      </w:r>
    </w:p>
  </w:endnote>
  <w:endnote w:id="5">
    <w:p w14:paraId="3729B479" w14:textId="77777777" w:rsidR="0058683A" w:rsidRDefault="00BE3694" w:rsidP="0058683A">
      <w:pPr>
        <w:pStyle w:val="aa"/>
      </w:pPr>
      <w:r>
        <w:rPr>
          <w:rStyle w:val="ac"/>
        </w:rPr>
        <w:endnoteRef/>
      </w:r>
      <w:r>
        <w:t xml:space="preserve"> </w:t>
      </w:r>
      <w:r w:rsidR="0058683A">
        <w:rPr>
          <w:rFonts w:hint="eastAsia"/>
        </w:rPr>
        <w:t>タクソノミは、データを分類し、構造化するための枠組みです。会計や経理、内部監査、取引先との情報交換など、さまざまな領域で使用されます。タクソノミは、特定の分野や業界のデータを統一的な形式で表現するためのルールや定義を提供します。</w:t>
      </w:r>
    </w:p>
    <w:p w14:paraId="7320347D" w14:textId="07581731" w:rsidR="0058683A" w:rsidRDefault="0058683A" w:rsidP="0058683A">
      <w:pPr>
        <w:pStyle w:val="aa"/>
      </w:pPr>
      <w:r>
        <w:rPr>
          <w:rFonts w:hint="eastAsia"/>
        </w:rPr>
        <w:t>タクソノミはデータの要素や関係性を定義し、それに対応するラベルやコードを提供します。これにより、データの相互運用性が向上し、異なるシステムや組織間でのデータの共有や比較が容易になります。</w:t>
      </w:r>
    </w:p>
    <w:p w14:paraId="1E82452B" w14:textId="2C4EE5A3" w:rsidR="0058683A" w:rsidRDefault="0058683A" w:rsidP="0058683A">
      <w:pPr>
        <w:pStyle w:val="aa"/>
      </w:pPr>
      <w:r>
        <w:rPr>
          <w:rFonts w:hint="eastAsia"/>
        </w:rPr>
        <w:t>例えば、会計情報のタクソノミでは、財務諸表や勘定科目、取引の種類などが定義されます。内部監査のタクソノミでは、監査手順やリスク要因、監査結果の評価基準などが定義されます。</w:t>
      </w:r>
    </w:p>
    <w:p w14:paraId="29AE194D" w14:textId="77777777" w:rsidR="0060213D" w:rsidRDefault="0058683A" w:rsidP="0058683A">
      <w:pPr>
        <w:pStyle w:val="aa"/>
      </w:pPr>
      <w:r>
        <w:rPr>
          <w:rFonts w:hint="eastAsia"/>
        </w:rPr>
        <w:t>タクソノミは、コンピュータやソフトウェアがデータを理解しやすくするための手段として利用されます。タクソノミに従ってデータを作成・共有することで、異なるシステムや組織間でのデータの統合や比較が容易になり、情報の正確性や信頼性が向上します。</w:t>
      </w:r>
    </w:p>
    <w:p w14:paraId="204A1B01" w14:textId="4AEAB853" w:rsidR="00BE3694" w:rsidRDefault="0058683A" w:rsidP="0058683A">
      <w:pPr>
        <w:pStyle w:val="aa"/>
      </w:pPr>
      <w:r>
        <w:rPr>
          <w:rFonts w:hint="eastAsia"/>
        </w:rPr>
        <w:t>タクソノミは特定の分野や業界のデータを一定のルールに従って整理し、構造化するための手法です。これにより、データの共有や解析が容易になり、会計や経理、内部監査、取引先との情報交換などの業務において効率性や信頼性が向上します。</w:t>
      </w:r>
    </w:p>
  </w:endnote>
  <w:endnote w:id="6">
    <w:p w14:paraId="1320A7BA" w14:textId="60B6D8F1" w:rsidR="00FB4479" w:rsidRDefault="00FB4479">
      <w:pPr>
        <w:pStyle w:val="aa"/>
      </w:pPr>
      <w:r>
        <w:rPr>
          <w:rStyle w:val="ac"/>
        </w:rPr>
        <w:endnoteRef/>
      </w:r>
      <w:r>
        <w:t xml:space="preserve"> </w:t>
      </w:r>
      <w:r>
        <w:rPr>
          <w:rFonts w:hint="eastAsia"/>
        </w:rPr>
        <w:t>OpenPeppolサービスプロバイダ、中小企業共通E</w:t>
      </w:r>
      <w:r>
        <w:t>DI</w:t>
      </w:r>
      <w:r>
        <w:rPr>
          <w:rFonts w:hint="eastAsia"/>
        </w:rPr>
        <w:t>プロバイダにも参加いただいた実証検証を試行中です。「コアインボイス　ゲートウェイ」のテストサービスは、</w:t>
      </w:r>
      <w:r w:rsidRPr="0027231B">
        <w:t>https://www.wuwei.space/core-japan/</w:t>
      </w:r>
      <w:r w:rsidRPr="00B82E2A">
        <w:rPr>
          <w:lang w:val="en-US"/>
        </w:rPr>
        <w:t>をご参照ください。</w:t>
      </w:r>
    </w:p>
  </w:endnote>
  <w:endnote w:id="7">
    <w:p w14:paraId="6F417EAF" w14:textId="2DE7C36C" w:rsidR="0075426C" w:rsidRPr="0027231B" w:rsidRDefault="00E76A32">
      <w:pPr>
        <w:pStyle w:val="aa"/>
      </w:pPr>
      <w:r>
        <w:rPr>
          <w:rStyle w:val="ac"/>
        </w:rPr>
        <w:endnoteRef/>
      </w:r>
      <w:r>
        <w:t xml:space="preserve"> </w:t>
      </w:r>
      <w:r w:rsidR="00FB4479">
        <w:rPr>
          <w:rFonts w:hint="eastAsia"/>
        </w:rPr>
        <w:t>同上</w:t>
      </w:r>
    </w:p>
  </w:endnote>
  <w:endnote w:id="8">
    <w:p w14:paraId="65444A6E" w14:textId="472653A8" w:rsidR="00DC06D2" w:rsidRDefault="00DC06D2">
      <w:pPr>
        <w:pStyle w:val="aa"/>
      </w:pPr>
      <w:r>
        <w:rPr>
          <w:rStyle w:val="ac"/>
        </w:rPr>
        <w:endnoteRef/>
      </w:r>
      <w:r>
        <w:t xml:space="preserve"> </w:t>
      </w:r>
      <w:r w:rsidR="00D72D66" w:rsidRPr="00757BA3">
        <w:t>OpenPeppolのSMP（Service Metadata Publisher）は、OpenPeppolネットワーク内の参加者情報を管理し、デジタルトランザクションの相互運用性を実現するための中央レジストリです</w:t>
      </w:r>
    </w:p>
  </w:endnote>
  <w:endnote w:id="9">
    <w:p w14:paraId="454F2D1E" w14:textId="1CAC0E76" w:rsidR="00EB244C" w:rsidRPr="009A1DCB" w:rsidRDefault="00EB244C" w:rsidP="0017458C">
      <w:pPr>
        <w:jc w:val="left"/>
        <w:rPr>
          <w:lang w:val="en-US"/>
        </w:rPr>
      </w:pPr>
      <w:r>
        <w:rPr>
          <w:rStyle w:val="ac"/>
        </w:rPr>
        <w:endnoteRef/>
      </w:r>
      <w:r>
        <w:t xml:space="preserve"> </w:t>
      </w:r>
      <w:r w:rsidRPr="00B82E2A">
        <w:rPr>
          <w:rFonts w:hint="eastAsia"/>
          <w:lang w:val="en-US"/>
        </w:rPr>
        <w:t>フィンランドのスマート政府ポータルサービスの</w:t>
      </w:r>
      <w:r w:rsidRPr="00B82E2A">
        <w:rPr>
          <w:lang w:val="en-US"/>
        </w:rPr>
        <w:t>URLは、https://www.suomi.fi/ です。このポータルサービスでは、中小企業が税務申告や会計処理、ビジネス登記などのさまざまな公的な手続きをオンラインで行うことができます。また、政府からの情報やサービスにアクセスすることも可能です。このポータルサービスを利用することで、中小企業は手続きの簡素化と効率化を実現し、ビジネスの運営をスムーズに進めることができます。</w:t>
      </w:r>
      <w:r w:rsidRPr="00B82E2A">
        <w:rPr>
          <w:rFonts w:hint="eastAsia"/>
          <w:lang w:val="en-US"/>
        </w:rPr>
        <w:t>フィンランドの納税申告に関する詳細な情報やオンライン提出のための</w:t>
      </w:r>
      <w:r w:rsidRPr="00B82E2A">
        <w:rPr>
          <w:lang w:val="en-US"/>
        </w:rPr>
        <w:t>URLは、https://www.vero.fi/ をご参照ください。こちらのウェブサイトでは、中小企業が必要な納税申告書類や手続きに関する情報を入手することができます。また、オンラインでの納税申告や支払い手続きも行うことができます。</w:t>
      </w:r>
    </w:p>
    <w:p w14:paraId="0982A288" w14:textId="77777777" w:rsidR="00EB244C" w:rsidRDefault="00EB244C" w:rsidP="00EB244C">
      <w:pPr>
        <w:pStyle w:val="aa"/>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706850"/>
      <w:docPartObj>
        <w:docPartGallery w:val="Page Numbers (Bottom of Page)"/>
        <w:docPartUnique/>
      </w:docPartObj>
    </w:sdtPr>
    <w:sdtEndPr>
      <w:rPr>
        <w:noProof/>
      </w:rPr>
    </w:sdtEndPr>
    <w:sdtContent>
      <w:p w14:paraId="0FF4A633" w14:textId="77777777" w:rsidR="00653E57" w:rsidRDefault="00AA2E1C">
        <w:pPr>
          <w:pStyle w:val="a8"/>
          <w:jc w:val="center"/>
        </w:pPr>
        <w:r>
          <w:fldChar w:fldCharType="begin"/>
        </w:r>
        <w:r>
          <w:instrText xml:space="preserve"> PAGE   \* MERGEFORMAT </w:instrText>
        </w:r>
        <w:r>
          <w:fldChar w:fldCharType="separate"/>
        </w:r>
        <w:r>
          <w:rPr>
            <w:noProof/>
          </w:rPr>
          <w:t>2</w:t>
        </w:r>
        <w:r>
          <w:rPr>
            <w:noProof/>
          </w:rPr>
          <w:fldChar w:fldCharType="end"/>
        </w:r>
      </w:p>
    </w:sdtContent>
  </w:sdt>
  <w:p w14:paraId="37989A04" w14:textId="77777777" w:rsidR="00653E57" w:rsidRDefault="0000000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28E47" w14:textId="77777777" w:rsidR="00DD78F4" w:rsidRDefault="00DD78F4" w:rsidP="00F25BFB">
      <w:pPr>
        <w:spacing w:before="0"/>
      </w:pPr>
      <w:r>
        <w:separator/>
      </w:r>
    </w:p>
  </w:footnote>
  <w:footnote w:type="continuationSeparator" w:id="0">
    <w:p w14:paraId="4297845E" w14:textId="77777777" w:rsidR="00DD78F4" w:rsidRDefault="00DD78F4" w:rsidP="00F25BFB">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FB"/>
    <w:rsid w:val="0000278E"/>
    <w:rsid w:val="00064D01"/>
    <w:rsid w:val="000773C6"/>
    <w:rsid w:val="00082C76"/>
    <w:rsid w:val="000866F3"/>
    <w:rsid w:val="000A3134"/>
    <w:rsid w:val="000C0D80"/>
    <w:rsid w:val="000E49C1"/>
    <w:rsid w:val="000F5A0B"/>
    <w:rsid w:val="00102BA3"/>
    <w:rsid w:val="00104698"/>
    <w:rsid w:val="0017458C"/>
    <w:rsid w:val="00177B77"/>
    <w:rsid w:val="001A74B8"/>
    <w:rsid w:val="001F52A3"/>
    <w:rsid w:val="00201C85"/>
    <w:rsid w:val="00237E2A"/>
    <w:rsid w:val="00245904"/>
    <w:rsid w:val="00260537"/>
    <w:rsid w:val="0027231B"/>
    <w:rsid w:val="002E7F23"/>
    <w:rsid w:val="003000F1"/>
    <w:rsid w:val="00300F8F"/>
    <w:rsid w:val="00304159"/>
    <w:rsid w:val="0032039E"/>
    <w:rsid w:val="00330C1A"/>
    <w:rsid w:val="00333C56"/>
    <w:rsid w:val="00335096"/>
    <w:rsid w:val="00351A8B"/>
    <w:rsid w:val="003671FB"/>
    <w:rsid w:val="00370AEF"/>
    <w:rsid w:val="00375D46"/>
    <w:rsid w:val="00384252"/>
    <w:rsid w:val="003A49D6"/>
    <w:rsid w:val="003D1A37"/>
    <w:rsid w:val="003E4948"/>
    <w:rsid w:val="003F0E6F"/>
    <w:rsid w:val="0043088D"/>
    <w:rsid w:val="0046409E"/>
    <w:rsid w:val="004904CC"/>
    <w:rsid w:val="004927DF"/>
    <w:rsid w:val="004B5F00"/>
    <w:rsid w:val="004D72EC"/>
    <w:rsid w:val="004E0771"/>
    <w:rsid w:val="0050294E"/>
    <w:rsid w:val="00502C76"/>
    <w:rsid w:val="00515B73"/>
    <w:rsid w:val="00563786"/>
    <w:rsid w:val="0058683A"/>
    <w:rsid w:val="0059248D"/>
    <w:rsid w:val="00596329"/>
    <w:rsid w:val="005A4B42"/>
    <w:rsid w:val="005E7FC5"/>
    <w:rsid w:val="00602049"/>
    <w:rsid w:val="0060213D"/>
    <w:rsid w:val="00620FD0"/>
    <w:rsid w:val="00630876"/>
    <w:rsid w:val="006A2370"/>
    <w:rsid w:val="006D2BD5"/>
    <w:rsid w:val="007100AF"/>
    <w:rsid w:val="0075426C"/>
    <w:rsid w:val="0075779E"/>
    <w:rsid w:val="0079669F"/>
    <w:rsid w:val="007B5528"/>
    <w:rsid w:val="007F4304"/>
    <w:rsid w:val="00805030"/>
    <w:rsid w:val="00813752"/>
    <w:rsid w:val="008158FA"/>
    <w:rsid w:val="008431FD"/>
    <w:rsid w:val="008A624D"/>
    <w:rsid w:val="008D0AC9"/>
    <w:rsid w:val="008E3354"/>
    <w:rsid w:val="00901142"/>
    <w:rsid w:val="00971840"/>
    <w:rsid w:val="0097474F"/>
    <w:rsid w:val="009837FC"/>
    <w:rsid w:val="009A7814"/>
    <w:rsid w:val="009B7A50"/>
    <w:rsid w:val="00A07065"/>
    <w:rsid w:val="00A44419"/>
    <w:rsid w:val="00A61A6A"/>
    <w:rsid w:val="00AA2E1C"/>
    <w:rsid w:val="00AF2C00"/>
    <w:rsid w:val="00B21D9D"/>
    <w:rsid w:val="00BA7155"/>
    <w:rsid w:val="00BB683D"/>
    <w:rsid w:val="00BD4A48"/>
    <w:rsid w:val="00BE01E1"/>
    <w:rsid w:val="00BE3694"/>
    <w:rsid w:val="00C2261B"/>
    <w:rsid w:val="00C754D8"/>
    <w:rsid w:val="00C75DCA"/>
    <w:rsid w:val="00C92A10"/>
    <w:rsid w:val="00CC36FF"/>
    <w:rsid w:val="00CD516C"/>
    <w:rsid w:val="00CE3B2B"/>
    <w:rsid w:val="00CE4E3D"/>
    <w:rsid w:val="00D01997"/>
    <w:rsid w:val="00D24712"/>
    <w:rsid w:val="00D72D66"/>
    <w:rsid w:val="00D95543"/>
    <w:rsid w:val="00DB124B"/>
    <w:rsid w:val="00DB6FF3"/>
    <w:rsid w:val="00DC06D2"/>
    <w:rsid w:val="00DC268A"/>
    <w:rsid w:val="00DD4167"/>
    <w:rsid w:val="00DD78F4"/>
    <w:rsid w:val="00E077BB"/>
    <w:rsid w:val="00E23572"/>
    <w:rsid w:val="00E26E67"/>
    <w:rsid w:val="00E33286"/>
    <w:rsid w:val="00E51630"/>
    <w:rsid w:val="00E53F37"/>
    <w:rsid w:val="00E54507"/>
    <w:rsid w:val="00E5629B"/>
    <w:rsid w:val="00E76A32"/>
    <w:rsid w:val="00EB244C"/>
    <w:rsid w:val="00ED65A3"/>
    <w:rsid w:val="00F04205"/>
    <w:rsid w:val="00F25BFB"/>
    <w:rsid w:val="00F3211A"/>
    <w:rsid w:val="00F67974"/>
    <w:rsid w:val="00F85A8C"/>
    <w:rsid w:val="00FB4479"/>
    <w:rsid w:val="00FC2405"/>
    <w:rsid w:val="00FF29E6"/>
    <w:rsid w:val="00FF75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3EEC24"/>
  <w15:chartTrackingRefBased/>
  <w15:docId w15:val="{8806C6D2-1AE2-4806-B0C6-257D67D6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BFB"/>
    <w:pPr>
      <w:spacing w:before="120" w:after="0" w:line="240" w:lineRule="auto"/>
      <w:jc w:val="both"/>
    </w:pPr>
    <w:rPr>
      <w:rFonts w:ascii="游明朝" w:eastAsia="游明朝" w:hAnsi="游明朝" w:cs="Times New Roman"/>
      <w:color w:val="000000"/>
      <w:kern w:val="0"/>
      <w:sz w:val="21"/>
      <w:szCs w:val="21"/>
    </w:rPr>
  </w:style>
  <w:style w:type="paragraph" w:styleId="1">
    <w:name w:val="heading 1"/>
    <w:basedOn w:val="a"/>
    <w:link w:val="10"/>
    <w:uiPriority w:val="9"/>
    <w:qFormat/>
    <w:rsid w:val="00ED65A3"/>
    <w:pPr>
      <w:spacing w:after="60"/>
      <w:jc w:val="left"/>
      <w:outlineLvl w:val="0"/>
    </w:pPr>
    <w:rPr>
      <w:rFonts w:ascii="Times New Roman" w:eastAsiaTheme="minorHAnsi" w:hAnsi="Times New Roman"/>
      <w:b/>
      <w:bCs/>
      <w:kern w:val="36"/>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D65A3"/>
    <w:rPr>
      <w:rFonts w:ascii="Times New Roman" w:eastAsiaTheme="minorHAnsi" w:hAnsi="Times New Roman" w:cs="Times New Roman"/>
      <w:b/>
      <w:bCs/>
      <w:color w:val="000000"/>
      <w:kern w:val="36"/>
      <w:sz w:val="28"/>
      <w:szCs w:val="28"/>
    </w:rPr>
  </w:style>
  <w:style w:type="paragraph" w:styleId="a3">
    <w:name w:val="Title"/>
    <w:basedOn w:val="1"/>
    <w:next w:val="a"/>
    <w:link w:val="a4"/>
    <w:uiPriority w:val="10"/>
    <w:qFormat/>
    <w:rsid w:val="00F67974"/>
    <w:rPr>
      <w:sz w:val="30"/>
      <w:szCs w:val="30"/>
    </w:rPr>
  </w:style>
  <w:style w:type="character" w:customStyle="1" w:styleId="a4">
    <w:name w:val="表題 (文字)"/>
    <w:basedOn w:val="a0"/>
    <w:link w:val="a3"/>
    <w:uiPriority w:val="10"/>
    <w:rsid w:val="00F67974"/>
    <w:rPr>
      <w:rFonts w:ascii="Times New Roman" w:eastAsiaTheme="minorHAnsi" w:hAnsi="Times New Roman" w:cs="Times New Roman"/>
      <w:b/>
      <w:bCs/>
      <w:color w:val="000000"/>
      <w:kern w:val="36"/>
      <w:sz w:val="30"/>
      <w:szCs w:val="30"/>
    </w:rPr>
  </w:style>
  <w:style w:type="paragraph" w:styleId="a5">
    <w:name w:val="footnote text"/>
    <w:basedOn w:val="a"/>
    <w:link w:val="a6"/>
    <w:uiPriority w:val="99"/>
    <w:semiHidden/>
    <w:unhideWhenUsed/>
    <w:rsid w:val="00F25BFB"/>
    <w:pPr>
      <w:snapToGrid w:val="0"/>
      <w:jc w:val="left"/>
    </w:pPr>
  </w:style>
  <w:style w:type="character" w:customStyle="1" w:styleId="a6">
    <w:name w:val="脚注文字列 (文字)"/>
    <w:basedOn w:val="a0"/>
    <w:link w:val="a5"/>
    <w:uiPriority w:val="99"/>
    <w:semiHidden/>
    <w:rsid w:val="00F25BFB"/>
    <w:rPr>
      <w:rFonts w:ascii="游明朝" w:eastAsia="游明朝" w:hAnsi="游明朝" w:cs="Times New Roman"/>
      <w:color w:val="000000"/>
      <w:kern w:val="0"/>
      <w:sz w:val="21"/>
      <w:szCs w:val="21"/>
    </w:rPr>
  </w:style>
  <w:style w:type="character" w:styleId="a7">
    <w:name w:val="footnote reference"/>
    <w:basedOn w:val="a0"/>
    <w:uiPriority w:val="99"/>
    <w:semiHidden/>
    <w:unhideWhenUsed/>
    <w:rsid w:val="00F25BFB"/>
    <w:rPr>
      <w:vertAlign w:val="superscript"/>
    </w:rPr>
  </w:style>
  <w:style w:type="paragraph" w:styleId="a8">
    <w:name w:val="footer"/>
    <w:basedOn w:val="a"/>
    <w:link w:val="a9"/>
    <w:uiPriority w:val="99"/>
    <w:unhideWhenUsed/>
    <w:rsid w:val="00F25BFB"/>
    <w:pPr>
      <w:tabs>
        <w:tab w:val="center" w:pos="4252"/>
        <w:tab w:val="right" w:pos="8504"/>
      </w:tabs>
      <w:spacing w:before="0"/>
    </w:pPr>
  </w:style>
  <w:style w:type="character" w:customStyle="1" w:styleId="a9">
    <w:name w:val="フッター (文字)"/>
    <w:basedOn w:val="a0"/>
    <w:link w:val="a8"/>
    <w:uiPriority w:val="99"/>
    <w:rsid w:val="00F25BFB"/>
    <w:rPr>
      <w:rFonts w:ascii="游明朝" w:eastAsia="游明朝" w:hAnsi="游明朝" w:cs="Times New Roman"/>
      <w:color w:val="000000"/>
      <w:kern w:val="0"/>
      <w:sz w:val="21"/>
      <w:szCs w:val="21"/>
    </w:rPr>
  </w:style>
  <w:style w:type="paragraph" w:styleId="aa">
    <w:name w:val="endnote text"/>
    <w:basedOn w:val="a"/>
    <w:link w:val="ab"/>
    <w:uiPriority w:val="99"/>
    <w:unhideWhenUsed/>
    <w:rsid w:val="00F25BFB"/>
    <w:pPr>
      <w:spacing w:before="0"/>
    </w:pPr>
    <w:rPr>
      <w:sz w:val="20"/>
      <w:szCs w:val="20"/>
    </w:rPr>
  </w:style>
  <w:style w:type="character" w:customStyle="1" w:styleId="ab">
    <w:name w:val="文末脚注文字列 (文字)"/>
    <w:basedOn w:val="a0"/>
    <w:link w:val="aa"/>
    <w:uiPriority w:val="99"/>
    <w:rsid w:val="00F25BFB"/>
    <w:rPr>
      <w:rFonts w:ascii="游明朝" w:eastAsia="游明朝" w:hAnsi="游明朝" w:cs="Times New Roman"/>
      <w:color w:val="000000"/>
      <w:kern w:val="0"/>
      <w:sz w:val="20"/>
      <w:szCs w:val="20"/>
    </w:rPr>
  </w:style>
  <w:style w:type="character" w:styleId="ac">
    <w:name w:val="endnote reference"/>
    <w:basedOn w:val="a0"/>
    <w:uiPriority w:val="99"/>
    <w:semiHidden/>
    <w:unhideWhenUsed/>
    <w:rsid w:val="00F25BFB"/>
    <w:rPr>
      <w:vertAlign w:val="superscript"/>
    </w:rPr>
  </w:style>
  <w:style w:type="paragraph" w:styleId="ad">
    <w:name w:val="header"/>
    <w:basedOn w:val="a"/>
    <w:link w:val="ae"/>
    <w:uiPriority w:val="99"/>
    <w:unhideWhenUsed/>
    <w:rsid w:val="00F25BFB"/>
    <w:pPr>
      <w:tabs>
        <w:tab w:val="center" w:pos="4252"/>
        <w:tab w:val="right" w:pos="8504"/>
      </w:tabs>
      <w:spacing w:before="0"/>
    </w:pPr>
  </w:style>
  <w:style w:type="character" w:customStyle="1" w:styleId="ae">
    <w:name w:val="ヘッダー (文字)"/>
    <w:basedOn w:val="a0"/>
    <w:link w:val="ad"/>
    <w:uiPriority w:val="99"/>
    <w:rsid w:val="00F25BFB"/>
    <w:rPr>
      <w:rFonts w:ascii="游明朝" w:eastAsia="游明朝" w:hAnsi="游明朝" w:cs="Times New Roman"/>
      <w:color w:val="000000"/>
      <w:kern w:val="0"/>
      <w:sz w:val="21"/>
      <w:szCs w:val="21"/>
    </w:rPr>
  </w:style>
  <w:style w:type="paragraph" w:styleId="af">
    <w:name w:val="Revision"/>
    <w:hidden/>
    <w:uiPriority w:val="99"/>
    <w:semiHidden/>
    <w:rsid w:val="00A44419"/>
    <w:pPr>
      <w:spacing w:after="0" w:line="240" w:lineRule="auto"/>
    </w:pPr>
    <w:rPr>
      <w:rFonts w:ascii="游明朝" w:eastAsia="游明朝" w:hAnsi="游明朝" w:cs="Times New Roman"/>
      <w:color w:val="000000"/>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4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41D4C-512E-44B4-82BD-AAB8F4B92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信之 三分一</cp:lastModifiedBy>
  <cp:revision>5</cp:revision>
  <cp:lastPrinted>2023-05-24T03:24:00Z</cp:lastPrinted>
  <dcterms:created xsi:type="dcterms:W3CDTF">2023-05-23T04:10:00Z</dcterms:created>
  <dcterms:modified xsi:type="dcterms:W3CDTF">2023-05-24T03:26:00Z</dcterms:modified>
</cp:coreProperties>
</file>