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a"/>
        <w:jc w:val="left"/>
      </w:pPr>
      <w:r>
        <w:t>UADC — Universal Adapter for Data Conversion</w:t>
      </w:r>
    </w:p>
    <w:p>
      <w:pPr>
        <w:pStyle w:val="aa"/>
      </w:pPr>
      <w:r>
        <w:t xml:space="preserve"> — Detailed Program Specification: Flat CSV</w:t>
      </w:r>
    </w:p>
    <w:p>
      <w:r>
        <w:t>Document status: Draft — For Collaborative Review</w:t>
      </w:r>
    </w:p>
    <w:p>
      <w:r/>
      <w:r>
        <w:t>Date: 2026-08-17</w:t>
      </w:r>
    </w:p>
    <w:p>
      <w:r>
        <w:t>Author: Nobuyuki SAMBUICHI</w:t>
      </w:r>
    </w:p>
    <w:p>
      <w:r>
        <w:t>Role: UADC project editor and implementation reviewer</w:t>
      </w:r>
    </w:p>
    <w:p>
      <w:r>
        <w:t>Project: UADC</w:t>
      </w:r>
    </w:p>
    <w:p>
      <w:r>
        <w:t>Distribution: Private project repository — invited participants only</w:t>
      </w:r>
    </w:p>
    <w:p>
      <w:r>
        <w:t>This document is a draft under development by Nobuyuki SAMBUICHI for collaborative review within the UADC project. It is shared through a private project workspace with invited participants. It has not been approved or endorsed as an official specification by XBRL Japan, XBRL Europe, XBRL International, or any other organization.</w:t>
      </w:r>
    </w:p>
    <w:p>
      <w:r>
        <w:t>Copyright and license terms are defined by the UADC project licensing files.</w:t>
      </w:r>
    </w:p>
    <w:p>
      <w:r>
        <w:t>Repository version: private collaborative review draft; WORK implementation snapshot.</w:t>
      </w:r>
    </w:p>
    <w:p>
      <w:r>
        <w:t>Editors: SAMBUICHI, Nobuyuki</w:t>
      </w:r>
    </w:p>
    <w:p>
      <w:r>
        <w:t>Contributors: invited project participants (individual names not yet confirmed for publication).</w:t>
      </w:r>
    </w:p>
    <w:p>
      <w:pPr>
        <w:pStyle w:val="10"/>
      </w:pPr>
      <w:r>
        <w:t>Status</w:t>
      </w:r>
    </w:p>
    <w:p>
      <w:pPr>
        <w:spacing w:before="60" w:after="120"/>
      </w:pPr>
      <w:r>
        <w:rPr>
          <w:b/>
        </w:rPr>
      </w:r>
      <w:r/>
      <w:r>
        <w:t>Current implementation: pre-public-validation/programs/flat-csv/scripts/flat_csv.py is the single Canonical 17-column Flat CSV runtime. It accepts only the exact 17-column Binding header, validates the Binding against the selected HMD, and provides the to-structured and to-flat subcommands. Any other Binding header is rejected; no alternate parser is selected.</w:t>
      </w:r>
    </w:p>
    <w:p>
      <w:pPr>
        <w:pStyle w:val="10"/>
      </w:pPr>
      <w:r>
        <w:t>Abstract</w:t>
      </w:r>
    </w:p>
    <w:p>
      <w:r/>
      <w:r>
        <w:t>flat_csv.py converts a headerless physical Flat CSV profile to the 11-column Structured CSV contract and reconstructs the Flat CSV in the reverse direction. The Binding maps physical ColumnN positions to HMD semantic_path values and declares grouping, source-row repetition, selector variants, row roles, limits, defaults, reversible transformations and required values. The HMD supplies the authoritative neutral semantic paths and sequence values.</w:t>
      </w:r>
    </w:p>
    <w:p>
      <w:pPr>
        <w:pStyle w:val="10"/>
      </w:pPr>
      <w:r>
        <w:t>1 Purpose and Scope</w:t>
      </w:r>
    </w:p>
    <w:p>
      <w:pPr>
        <w:pStyle w:val="a"/>
      </w:pPr>
      <w:r/>
      <w:r>
        <w:t>In scope: flat_csv.py definition loading and validation, grouping, occurrence construction, forward conversion, reverse reconstruction, summary output and command-line processing.</w:t>
      </w:r>
    </w:p>
    <w:p>
      <w:pPr>
        <w:pStyle w:val="a"/>
      </w:pPr>
      <w:r/>
      <w:r>
        <w:t>In scope: synthetic 81-column keyed_rows and 25-column CP932 marker_rows profiles. No real accounting data is used or described.</w:t>
      </w:r>
    </w:p>
    <w:p>
      <w:pPr>
        <w:pStyle w:val="a"/>
      </w:pPr>
      <w:r/>
      <w:r>
        <w:t>Binding acceptance is exact: the 17 names, their order and the column count must match CANONICAL_FIELDS. A 13-column Binding is rejected with UNSUPPORTED_LEGACY_BINDING; other mismatches are rejected with BINDING_HEADER_INVALID.</w:t>
      </w:r>
    </w:p>
    <w:p>
      <w:pPr>
        <w:pStyle w:val="a"/>
      </w:pPr>
      <w:r/>
      <w:r>
        <w:t>Supported occurrence modes are blank, single, source_rows, keyed_rows and marker_rows. fixed_columns is not accepted. max_occurs is enforced for the header-group count and the number of source rows within each group when it is declared on the applicable group or driver row.</w:t>
      </w:r>
    </w:p>
    <w:p>
      <w:pPr>
        <w:pStyle w:val="10"/>
      </w:pPr>
      <w:r>
        <w:t>2 System Context</w:t>
      </w:r>
    </w:p>
    <w:p>
      <w:pPr>
        <w:spacing w:before="60" w:after="120"/>
      </w:pPr>
      <w:r>
        <w:rPr>
          <w:b/>
        </w:rPr>
        <w:t xml:space="preserve">Responsibility boundary: </w:t>
      </w:r>
      <w:r>
        <w:t>The Binding determines physical-column meaning and grouping. The HMD supplies neutral semantic paths and sequence. The program does not infer business semantics from labels and does not map between different HMDs.</w:t>
      </w:r>
    </w:p>
    <w:p>
      <w:pPr>
        <w:pStyle w:val="10"/>
      </w:pPr>
      <w:r>
        <w:t>3 Processing Overview</w:t>
      </w:r>
    </w:p>
    <w:p>
      <w:pPr>
        <w:keepNext/>
      </w:pPr>
      <w:r/>
      <w:r>
        <w:t>Table 1 summarizes the single Canonical runtime path and its definition-driven stages.</w:t>
      </w:r>
    </w:p>
    <w:p>
      <w:pPr>
        <w:pStyle w:val="af2"/>
        <w:keepNext/>
        <w:jc w:val="center"/>
      </w:pPr>
      <w:r/>
      <w:r>
        <w:t>Table 1 — Canonical Flat CSV runtime stages</w:t>
      </w:r>
    </w:p>
    <w:tbl>
      <w:tblPr>
        <w:tblStyle w:val="af7"/>
        <w:tblW w:type="dxa" w:w="10368"/>
        <w:jc w:val="center"/>
        <w:tblLayout w:type="fixed"/>
        <w:tblLook w:firstColumn="1" w:firstRow="1" w:lastColumn="0" w:lastRow="0" w:noHBand="0" w:noVBand="1" w:val="04A0"/>
      </w:tblPr>
      <w:tblGrid>
        <w:gridCol w:w="1872"/>
        <w:gridCol w:w="2160"/>
        <w:gridCol w:w="4031"/>
        <w:gridCol w:w="2304"/>
      </w:tblGrid>
      <w:tr>
        <w:trPr>
          <w:tblHeader w:val="true"/>
        </w:trPr>
        <w:tc>
          <w:tcPr>
            <w:tcW w:type="dxa" w:w="1872"/>
            <w:shd w:fill="F2F2F2"/>
            <w:tcMar>
              <w:top w:w="90" w:type="dxa"/>
              <w:start w:w="110" w:type="dxa"/>
              <w:bottom w:w="90" w:type="dxa"/>
              <w:end w:w="110" w:type="dxa"/>
            </w:tcMar>
            <w:vAlign w:val="center"/>
          </w:tcPr>
          <w:p>
            <w:r>
              <w:t>Stage</w:t>
            </w:r>
          </w:p>
        </w:tc>
        <w:tc>
          <w:tcPr>
            <w:tcW w:type="dxa" w:w="2160"/>
            <w:shd w:fill="F2F2F2"/>
            <w:tcMar>
              <w:top w:w="90" w:type="dxa"/>
              <w:start w:w="110" w:type="dxa"/>
              <w:bottom w:w="90" w:type="dxa"/>
              <w:end w:w="110" w:type="dxa"/>
            </w:tcMar>
            <w:vAlign w:val="center"/>
          </w:tcPr>
          <w:p>
            <w:r>
              <w:t>Binding-controlled input</w:t>
            </w:r>
          </w:p>
        </w:tc>
        <w:tc>
          <w:tcPr>
            <w:tcW w:type="dxa" w:w="4031"/>
            <w:shd w:fill="F2F2F2"/>
            <w:tcMar>
              <w:top w:w="90" w:type="dxa"/>
              <w:start w:w="110" w:type="dxa"/>
              <w:bottom w:w="90" w:type="dxa"/>
              <w:end w:w="110" w:type="dxa"/>
            </w:tcMar>
            <w:vAlign w:val="center"/>
          </w:tcPr>
          <w:p>
            <w:r>
              <w:t>Runtime function</w:t>
            </w:r>
          </w:p>
        </w:tc>
        <w:tc>
          <w:tcPr>
            <w:tcW w:type="dxa" w:w="2304"/>
            <w:shd w:fill="F2F2F2"/>
            <w:tcMar>
              <w:top w:w="90" w:type="dxa"/>
              <w:start w:w="110" w:type="dxa"/>
              <w:bottom w:w="90" w:type="dxa"/>
              <w:end w:w="110" w:type="dxa"/>
            </w:tcMar>
            <w:vAlign w:val="center"/>
          </w:tcPr>
          <w:p>
            <w:r>
              <w:t>Result</w:t>
            </w:r>
          </w:p>
        </w:tc>
      </w:tr>
      <w:tr>
        <w:tc>
          <w:tcPr>
            <w:tcW w:type="dxa" w:w="1872"/>
          </w:tcPr>
          <w:p>
            <w:r>
              <w:t>Definition</w:t>
            </w:r>
          </w:p>
        </w:tc>
        <w:tc>
          <w:tcPr>
            <w:tcW w:type="dxa" w:w="2160"/>
          </w:tcPr>
          <w:p>
            <w:r>
              <w:t>Exact CANONICAL_FIELDS plus HMD</w:t>
            </w:r>
          </w:p>
        </w:tc>
        <w:tc>
          <w:tcPr>
            <w:tcW w:type="dxa" w:w="4031"/>
          </w:tcPr>
          <w:p>
            <w:r>
              <w:t>load_binding, load_hmd, validate_definition</w:t>
            </w:r>
          </w:p>
        </w:tc>
        <w:tc>
          <w:tcPr>
            <w:tcW w:type="dxa" w:w="2304"/>
          </w:tcPr>
          <w:p>
            <w:r>
              <w:t>Validated Definition</w:t>
            </w:r>
          </w:p>
        </w:tc>
      </w:tr>
      <w:tr>
        <w:tc>
          <w:tcPr>
            <w:tcW w:type="dxa" w:w="1872"/>
          </w:tcPr>
          <w:p>
            <w:r>
              <w:t>Forward</w:t>
            </w:r>
          </w:p>
        </w:tc>
        <w:tc>
          <w:tcPr>
            <w:tcW w:type="dxa" w:w="2160"/>
          </w:tcPr>
          <w:p>
            <w:r>
              <w:t>Headerless Flat CSV</w:t>
            </w:r>
          </w:p>
        </w:tc>
        <w:tc>
          <w:tcPr>
            <w:tcW w:type="dxa" w:w="4031"/>
          </w:tcPr>
          <w:p>
            <w:r>
              <w:t>convert_to_structured</w:t>
            </w:r>
          </w:p>
        </w:tc>
        <w:tc>
          <w:tcPr>
            <w:tcW w:type="dxa" w:w="2304"/>
          </w:tcPr>
          <w:p>
            <w:r>
              <w:t>Exact STRUCTURED_FIELDS CSV</w:t>
            </w:r>
          </w:p>
        </w:tc>
      </w:tr>
      <w:tr>
        <w:tc>
          <w:tcPr>
            <w:tcW w:type="dxa" w:w="1872"/>
          </w:tcPr>
          <w:p>
            <w:r>
              <w:t>Reverse</w:t>
            </w:r>
          </w:p>
        </w:tc>
        <w:tc>
          <w:tcPr>
            <w:tcW w:type="dxa" w:w="2160"/>
          </w:tcPr>
          <w:p>
            <w:r>
              <w:t>Structured CSV</w:t>
            </w:r>
          </w:p>
        </w:tc>
        <w:tc>
          <w:tcPr>
            <w:tcW w:type="dxa" w:w="4031"/>
          </w:tcPr>
          <w:p>
            <w:r>
              <w:t>convert_to_flat</w:t>
            </w:r>
          </w:p>
        </w:tc>
        <w:tc>
          <w:tcPr>
            <w:tcW w:type="dxa" w:w="2304"/>
          </w:tcPr>
          <w:p>
            <w:r>
              <w:t>Headerless Flat CSV plus optional summary</w:t>
            </w:r>
          </w:p>
        </w:tc>
      </w:tr>
      <w:tr>
        <w:tc>
          <w:tcPr>
            <w:tcW w:type="dxa" w:w="1872"/>
          </w:tcPr>
          <w:p>
            <w:r>
              <w:t>CLI</w:t>
            </w:r>
          </w:p>
        </w:tc>
        <w:tc>
          <w:tcPr>
            <w:tcW w:type="dxa" w:w="2160"/>
          </w:tcPr>
          <w:p>
            <w:r>
              <w:t>to-structured or to-flat</w:t>
            </w:r>
          </w:p>
        </w:tc>
        <w:tc>
          <w:tcPr>
            <w:tcW w:type="dxa" w:w="4031"/>
          </w:tcPr>
          <w:p>
            <w:r>
              <w:t>parse_args, main</w:t>
            </w:r>
          </w:p>
        </w:tc>
        <w:tc>
          <w:tcPr>
            <w:tcW w:type="dxa" w:w="2304"/>
          </w:tcPr>
          <w:p>
            <w:r>
              <w:t>Status 0, classified status 2, or internal status 3</w:t>
            </w:r>
          </w:p>
        </w:tc>
      </w:tr>
    </w:tbl>
    <w:p>
      <w:pPr>
        <w:spacing w:after="0"/>
      </w:pPr>
    </w:p>
    <w:p>
      <w:pPr>
        <w:pStyle w:val="10"/>
      </w:pPr>
      <w:r>
        <w:t>4 Runtime Arguments</w:t>
      </w:r>
    </w:p>
    <w:p>
      <w:pPr>
        <w:keepNext/>
      </w:pPr>
      <w:r>
        <w:t>Table 2 summarizes flat csv runtime arguments. The entries provide the implementation evidence used by the surrounding specification text.</w:t>
      </w:r>
    </w:p>
    <w:p>
      <w:pPr>
        <w:pStyle w:val="af2"/>
        <w:keepNext/>
        <w:jc w:val="center"/>
      </w:pPr>
      <w:r>
        <w:t>Table 2 — Flat CSV runtime arguments</w:t>
      </w:r>
    </w:p>
    <w:tbl>
      <w:tblPr>
        <w:tblStyle w:val="af7"/>
        <w:tblW w:type="dxa" w:w="10224"/>
        <w:jc w:val="center"/>
        <w:tblLayout w:type="fixed"/>
        <w:tblLook w:firstColumn="1" w:firstRow="1" w:lastColumn="0" w:lastRow="0" w:noHBand="0" w:noVBand="1" w:val="04A0"/>
      </w:tblPr>
      <w:tblGrid>
        <w:gridCol w:w="1944"/>
        <w:gridCol w:w="1944"/>
        <w:gridCol w:w="1944"/>
        <w:gridCol w:w="4392"/>
      </w:tblGrid>
      <w:tr>
        <w:trPr>
          <w:tblHeader w:val="true"/>
        </w:trPr>
        <w:tc>
          <w:tcPr>
            <w:tcW w:type="dxa" w:w="1944"/>
            <w:shd w:fill="F2F2F2"/>
            <w:tcMar>
              <w:top w:w="90" w:type="dxa"/>
              <w:start w:w="110" w:type="dxa"/>
              <w:bottom w:w="90" w:type="dxa"/>
              <w:end w:w="110" w:type="dxa"/>
            </w:tcMar>
            <w:vAlign w:val="center"/>
          </w:tcPr>
          <w:p>
            <w:r>
              <w:t>Argument</w:t>
            </w:r>
          </w:p>
        </w:tc>
        <w:tc>
          <w:tcPr>
            <w:tcW w:type="dxa" w:w="1944"/>
            <w:shd w:fill="F2F2F2"/>
            <w:tcMar>
              <w:top w:w="90" w:type="dxa"/>
              <w:start w:w="110" w:type="dxa"/>
              <w:bottom w:w="90" w:type="dxa"/>
              <w:end w:w="110" w:type="dxa"/>
            </w:tcMar>
            <w:vAlign w:val="center"/>
          </w:tcPr>
          <w:p>
            <w:r>
              <w:t>Applies to</w:t>
            </w:r>
          </w:p>
        </w:tc>
        <w:tc>
          <w:tcPr>
            <w:tcW w:type="dxa" w:w="1944"/>
            <w:shd w:fill="F2F2F2"/>
            <w:tcMar>
              <w:top w:w="90" w:type="dxa"/>
              <w:start w:w="110" w:type="dxa"/>
              <w:bottom w:w="90" w:type="dxa"/>
              <w:end w:w="110" w:type="dxa"/>
            </w:tcMar>
            <w:vAlign w:val="center"/>
          </w:tcPr>
          <w:p>
            <w:r>
              <w:t>Requirement/default</w:t>
            </w:r>
          </w:p>
        </w:tc>
        <w:tc>
          <w:tcPr>
            <w:tcW w:type="dxa" w:w="4392"/>
            <w:shd w:fill="F2F2F2"/>
            <w:tcMar>
              <w:top w:w="90" w:type="dxa"/>
              <w:start w:w="110" w:type="dxa"/>
              <w:bottom w:w="90" w:type="dxa"/>
              <w:end w:w="110" w:type="dxa"/>
            </w:tcMar>
            <w:vAlign w:val="center"/>
          </w:tcPr>
          <w:p>
            <w:r>
              <w:t>Effect</w:t>
            </w:r>
          </w:p>
        </w:tc>
      </w:tr>
      <w:tr>
        <w:tc>
          <w:tcPr>
            <w:tcW w:type="dxa" w:w="1944"/>
          </w:tcPr>
          <w:p>
            <w:r>
              <w:t>to-structured / to-flat</w:t>
            </w:r>
          </w:p>
        </w:tc>
        <w:tc>
          <w:tcPr>
            <w:tcW w:type="dxa" w:w="1944"/>
          </w:tcPr>
          <w:p>
            <w:r>
              <w:t>CLI</w:t>
            </w:r>
          </w:p>
        </w:tc>
        <w:tc>
          <w:tcPr>
            <w:tcW w:type="dxa" w:w="1944"/>
          </w:tcPr>
          <w:p>
            <w:r>
              <w:t>exactly one required</w:t>
            </w:r>
          </w:p>
        </w:tc>
        <w:tc>
          <w:tcPr>
            <w:tcW w:type="dxa" w:w="4392"/>
          </w:tcPr>
          <w:p>
            <w:r>
              <w:t>Selects conversion direction</w:t>
            </w:r>
          </w:p>
        </w:tc>
      </w:tr>
      <w:tr>
        <w:tc>
          <w:tcPr>
            <w:tcW w:type="dxa" w:w="1944"/>
          </w:tcPr>
          <w:p>
            <w:r>
              <w:t>input</w:t>
            </w:r>
          </w:p>
        </w:tc>
        <w:tc>
          <w:tcPr>
            <w:tcW w:type="dxa" w:w="1944"/>
          </w:tcPr>
          <w:p>
            <w:r>
              <w:t>both</w:t>
            </w:r>
          </w:p>
        </w:tc>
        <w:tc>
          <w:tcPr>
            <w:tcW w:type="dxa" w:w="1944"/>
          </w:tcPr>
          <w:p>
            <w:r>
              <w:t>required Path</w:t>
            </w:r>
          </w:p>
        </w:tc>
        <w:tc>
          <w:tcPr>
            <w:tcW w:type="dxa" w:w="4392"/>
          </w:tcPr>
          <w:p>
            <w:r>
              <w:t>Physical Flat CSV or Structured CSV</w:t>
            </w:r>
          </w:p>
        </w:tc>
      </w:tr>
      <w:tr>
        <w:tc>
          <w:tcPr>
            <w:tcW w:type="dxa" w:w="1944"/>
          </w:tcPr>
          <w:p>
            <w:r>
              <w:t>-o / --output</w:t>
            </w:r>
          </w:p>
        </w:tc>
        <w:tc>
          <w:tcPr>
            <w:tcW w:type="dxa" w:w="1944"/>
          </w:tcPr>
          <w:p>
            <w:r>
              <w:t>both</w:t>
            </w:r>
          </w:p>
        </w:tc>
        <w:tc>
          <w:tcPr>
            <w:tcW w:type="dxa" w:w="1944"/>
          </w:tcPr>
          <w:p>
            <w:r>
              <w:t>required Path</w:t>
            </w:r>
          </w:p>
        </w:tc>
        <w:tc>
          <w:tcPr>
            <w:tcW w:type="dxa" w:w="4392"/>
          </w:tcPr>
          <w:p>
            <w:r>
              <w:t>Direct final-path write</w:t>
            </w:r>
          </w:p>
        </w:tc>
      </w:tr>
      <w:tr>
        <w:tc>
          <w:tcPr>
            <w:tcW w:type="dxa" w:w="1944"/>
          </w:tcPr>
          <w:p>
            <w:r>
              <w:t>-m / --hmd-file</w:t>
            </w:r>
          </w:p>
        </w:tc>
        <w:tc>
          <w:tcPr>
            <w:tcW w:type="dxa" w:w="1944"/>
          </w:tcPr>
          <w:p>
            <w:r>
              <w:t>both</w:t>
            </w:r>
          </w:p>
        </w:tc>
        <w:tc>
          <w:tcPr>
            <w:tcW w:type="dxa" w:w="1944"/>
          </w:tcPr>
          <w:p>
            <w:r>
              <w:t>required Path</w:t>
            </w:r>
          </w:p>
        </w:tc>
        <w:tc>
          <w:tcPr>
            <w:tcW w:type="dxa" w:w="4392"/>
          </w:tcPr>
          <w:p>
            <w:r>
              <w:t>Selected HMD definition</w:t>
            </w:r>
          </w:p>
        </w:tc>
      </w:tr>
      <w:tr>
        <w:tc>
          <w:tcPr>
            <w:tcW w:type="dxa" w:w="1944"/>
          </w:tcPr>
          <w:p>
            <w:r>
              <w:t>-b / --binding-file</w:t>
            </w:r>
          </w:p>
        </w:tc>
        <w:tc>
          <w:tcPr>
            <w:tcW w:type="dxa" w:w="1944"/>
          </w:tcPr>
          <w:p>
            <w:r>
              <w:t>both</w:t>
            </w:r>
          </w:p>
        </w:tc>
        <w:tc>
          <w:tcPr>
            <w:tcW w:type="dxa" w:w="1944"/>
          </w:tcPr>
          <w:p>
            <w:r>
              <w:t>required Path</w:t>
            </w:r>
          </w:p>
        </w:tc>
        <w:tc>
          <w:tcPr>
            <w:tcW w:type="dxa" w:w="4392"/>
          </w:tcPr>
          <w:p>
            <w:r>
              <w:t>Exact Canonical 17-column Binding</w:t>
            </w:r>
          </w:p>
        </w:tc>
      </w:tr>
      <w:tr>
        <w:tc>
          <w:tcPr>
            <w:tcW w:type="dxa" w:w="1944"/>
          </w:tcPr>
          <w:p>
            <w:r>
              <w:t>-e / --definition-encoding</w:t>
            </w:r>
          </w:p>
        </w:tc>
        <w:tc>
          <w:tcPr>
            <w:tcW w:type="dxa" w:w="1944"/>
          </w:tcPr>
          <w:p>
            <w:r>
              <w:t>both</w:t>
            </w:r>
          </w:p>
        </w:tc>
        <w:tc>
          <w:tcPr>
            <w:tcW w:type="dxa" w:w="1944"/>
          </w:tcPr>
          <w:p>
            <w:r>
              <w:t>utf-8-sig</w:t>
            </w:r>
          </w:p>
        </w:tc>
        <w:tc>
          <w:tcPr>
            <w:tcW w:type="dxa" w:w="4392"/>
          </w:tcPr>
          <w:p>
            <w:r>
              <w:t>Binding and HMD encoding</w:t>
            </w:r>
          </w:p>
        </w:tc>
      </w:tr>
      <w:tr>
        <w:tc>
          <w:tcPr>
            <w:tcW w:type="dxa" w:w="1944"/>
          </w:tcPr>
          <w:p>
            <w:r>
              <w:t>--input-encoding</w:t>
            </w:r>
          </w:p>
        </w:tc>
        <w:tc>
          <w:tcPr>
            <w:tcW w:type="dxa" w:w="1944"/>
          </w:tcPr>
          <w:p>
            <w:r>
              <w:t>to-structured</w:t>
            </w:r>
          </w:p>
        </w:tc>
        <w:tc>
          <w:tcPr>
            <w:tcW w:type="dxa" w:w="1944"/>
          </w:tcPr>
          <w:p>
            <w:r>
              <w:t>utf-8-sig</w:t>
            </w:r>
          </w:p>
        </w:tc>
        <w:tc>
          <w:tcPr>
            <w:tcW w:type="dxa" w:w="4392"/>
          </w:tcPr>
          <w:p>
            <w:r>
              <w:t>Physical Flat CSV input encoding</w:t>
            </w:r>
          </w:p>
        </w:tc>
      </w:tr>
      <w:tr>
        <w:tc>
          <w:tcPr>
            <w:tcW w:type="dxa" w:w="1944"/>
          </w:tcPr>
          <w:p>
            <w:r>
              <w:t>--output-encoding</w:t>
            </w:r>
          </w:p>
        </w:tc>
        <w:tc>
          <w:tcPr>
            <w:tcW w:type="dxa" w:w="1944"/>
          </w:tcPr>
          <w:p>
            <w:r>
              <w:t>to-flat</w:t>
            </w:r>
          </w:p>
        </w:tc>
        <w:tc>
          <w:tcPr>
            <w:tcW w:type="dxa" w:w="1944"/>
          </w:tcPr>
          <w:p>
            <w:r>
              <w:t>utf-8-sig</w:t>
            </w:r>
          </w:p>
        </w:tc>
        <w:tc>
          <w:tcPr>
            <w:tcW w:type="dxa" w:w="4392"/>
          </w:tcPr>
          <w:p>
            <w:r>
              <w:t>Physical Flat CSV output encoding</w:t>
            </w:r>
          </w:p>
        </w:tc>
      </w:tr>
      <w:tr>
        <w:tc>
          <w:tcPr>
            <w:tcW w:type="dxa" w:w="1944"/>
          </w:tcPr>
          <w:p>
            <w:r>
              <w:t>--profile-width</w:t>
            </w:r>
          </w:p>
        </w:tc>
        <w:tc>
          <w:tcPr>
            <w:tcW w:type="dxa" w:w="1944"/>
          </w:tcPr>
          <w:p>
            <w:r>
              <w:t>both</w:t>
            </w:r>
          </w:p>
        </w:tc>
        <w:tc>
          <w:tcPr>
            <w:tcW w:type="dxa" w:w="1944"/>
          </w:tcPr>
          <w:p>
            <w:r>
              <w:t>optional positive integer</w:t>
            </w:r>
          </w:p>
        </w:tc>
        <w:tc>
          <w:tcPr>
            <w:tcW w:type="dxa" w:w="4392"/>
          </w:tcPr>
          <w:p>
            <w:r>
              <w:t>Exact physical row width; cannot be below referenced ColumnN</w:t>
            </w:r>
          </w:p>
        </w:tc>
      </w:tr>
      <w:tr>
        <w:tc>
          <w:tcPr>
            <w:tcW w:type="dxa" w:w="1944"/>
          </w:tcPr>
          <w:p>
            <w:r>
              <w:t>--summary-log</w:t>
            </w:r>
          </w:p>
        </w:tc>
        <w:tc>
          <w:tcPr>
            <w:tcW w:type="dxa" w:w="1944"/>
          </w:tcPr>
          <w:p>
            <w:r>
              <w:t>both</w:t>
            </w:r>
          </w:p>
        </w:tc>
        <w:tc>
          <w:tcPr>
            <w:tcW w:type="dxa" w:w="1944"/>
          </w:tcPr>
          <w:p>
            <w:r>
              <w:t>optional Path</w:t>
            </w:r>
          </w:p>
        </w:tc>
        <w:tc>
          <w:tcPr>
            <w:tcW w:type="dxa" w:w="4392"/>
          </w:tcPr>
          <w:p>
            <w:r>
              <w:t>Value-free JSON summary</w:t>
            </w:r>
          </w:p>
        </w:tc>
      </w:tr>
      <w:tr>
        <w:tc>
          <w:tcPr>
            <w:tcW w:type="dxa" w:w="1944"/>
          </w:tcPr>
          <w:p>
            <w:r>
              <w:t>--debug / --trace</w:t>
            </w:r>
          </w:p>
        </w:tc>
        <w:tc>
          <w:tcPr>
            <w:tcW w:type="dxa" w:w="1944"/>
          </w:tcPr>
          <w:p>
            <w:r>
              <w:t>both</w:t>
            </w:r>
          </w:p>
        </w:tc>
        <w:tc>
          <w:tcPr>
            <w:tcW w:type="dxa" w:w="1944"/>
          </w:tcPr>
          <w:p>
            <w:r>
              <w:t>flags</w:t>
            </w:r>
          </w:p>
        </w:tc>
        <w:tc>
          <w:tcPr>
            <w:tcW w:type="dxa" w:w="4392"/>
          </w:tcPr>
          <w:p>
            <w:r>
              <w:t>Accepted; no conversion-state or value logging</w:t>
            </w:r>
          </w:p>
        </w:tc>
      </w:tr>
    </w:tbl>
    <w:p>
      <w:pPr>
        <w:spacing w:after="0"/>
      </w:pPr>
    </w:p>
    <w:p>
      <w:pPr>
        <w:pStyle w:val="10"/>
      </w:pPr>
      <w:r>
        <w:t>5 Input File Specification</w:t>
      </w:r>
    </w:p>
    <w:p>
      <w:pPr>
        <w:pStyle w:val="20"/>
      </w:pPr>
      <w:r>
        <w:t>5.1 Physical Flat CSV</w:t>
      </w:r>
    </w:p>
    <w:p>
      <w:pPr>
        <w:pStyle w:val="a"/>
      </w:pPr>
      <w:r>
        <w:t>Headerless rows read with csv.reader.</w:t>
      </w:r>
    </w:p>
    <w:p>
      <w:pPr>
        <w:pStyle w:val="a"/>
      </w:pPr>
      <w:r/>
      <w:r>
        <w:t>Width equals --profile-width when supplied, otherwise the highest physical column referenced by the Binding or grouping control.</w:t>
      </w:r>
    </w:p>
    <w:p>
      <w:pPr>
        <w:pStyle w:val="a"/>
      </w:pPr>
      <w:r/>
      <w:r>
        <w:t>Every source row must contain exactly the resolved profile width; shorter and longer rows are rejected with PROFILE_WIDTH_MISMATCH.</w:t>
      </w:r>
    </w:p>
    <w:p>
      <w:pPr>
        <w:pStyle w:val="a"/>
      </w:pPr>
      <w:r/>
      <w:r>
        <w:t>Forward physical encoding is selected by --input-encoding. Definition encoding is selected independently by --definition-encoding.</w:t>
      </w:r>
    </w:p>
    <w:p>
      <w:pPr>
        <w:pStyle w:val="20"/>
      </w:pPr>
      <w:r>
        <w:t>5.2 Exact 17-column Binding</w:t>
      </w:r>
    </w:p>
    <w:p>
      <w:pPr>
        <w:keepNext/>
      </w:pPr>
      <w:r>
        <w:t>Table 3 summarizes canonical flat csv binding fields. The entries provide the implementation evidence used by the surrounding specification text.</w:t>
      </w:r>
    </w:p>
    <w:p>
      <w:pPr>
        <w:pStyle w:val="af2"/>
        <w:keepNext/>
        <w:jc w:val="center"/>
      </w:pPr>
      <w:r>
        <w:t>Table 3 — Canonical Flat CSV Binding fields</w:t>
      </w:r>
    </w:p>
    <w:tbl>
      <w:tblPr>
        <w:tblStyle w:val="af7"/>
        <w:tblW w:type="dxa" w:w="9792"/>
        <w:jc w:val="center"/>
        <w:tblLayout w:type="fixed"/>
        <w:tblLook w:firstColumn="1" w:firstRow="1" w:lastColumn="0" w:lastRow="0" w:noHBand="0" w:noVBand="1" w:val="04A0"/>
      </w:tblPr>
      <w:tblGrid>
        <w:gridCol w:w="2592"/>
        <w:gridCol w:w="7200"/>
      </w:tblGrid>
      <w:tr>
        <w:trPr>
          <w:tblHeader w:val="true"/>
        </w:trPr>
        <w:tc>
          <w:tcPr>
            <w:tcW w:type="dxa" w:w="2592"/>
            <w:shd w:fill="F2F2F2"/>
            <w:tcMar>
              <w:top w:w="90" w:type="dxa"/>
              <w:start w:w="110" w:type="dxa"/>
              <w:bottom w:w="90" w:type="dxa"/>
              <w:end w:w="110" w:type="dxa"/>
            </w:tcMar>
            <w:vAlign w:val="center"/>
          </w:tcPr>
          <w:p>
            <w:r>
              <w:t>Column</w:t>
            </w:r>
          </w:p>
        </w:tc>
        <w:tc>
          <w:tcPr>
            <w:tcW w:type="dxa" w:w="7200"/>
            <w:shd w:fill="F2F2F2"/>
            <w:tcMar>
              <w:top w:w="90" w:type="dxa"/>
              <w:start w:w="110" w:type="dxa"/>
              <w:bottom w:w="90" w:type="dxa"/>
              <w:end w:w="110" w:type="dxa"/>
            </w:tcMar>
            <w:vAlign w:val="center"/>
          </w:tcPr>
          <w:p>
            <w:r>
              <w:t>Current use</w:t>
            </w:r>
          </w:p>
        </w:tc>
      </w:tr>
      <w:tr>
        <w:tc>
          <w:tcPr>
            <w:tcW w:type="dxa" w:w="2592"/>
          </w:tcPr>
          <w:p>
            <w:r>
              <w:t>sequence</w:t>
            </w:r>
          </w:p>
        </w:tc>
        <w:tc>
          <w:tcPr>
            <w:tcW w:type="dxa" w:w="7200"/>
          </w:tcPr>
          <w:p>
            <w:r>
              <w:t>Positive integer; must equal the selected HMD sequence</w:t>
            </w:r>
          </w:p>
        </w:tc>
      </w:tr>
      <w:tr>
        <w:tc>
          <w:tcPr>
            <w:tcW w:type="dxa" w:w="2592"/>
          </w:tcPr>
          <w:p>
            <w:r>
              <w:t>level/type/id/name/datatype/multiplicity</w:t>
            </w:r>
          </w:p>
        </w:tc>
        <w:tc>
          <w:tcPr>
            <w:tcW w:type="dxa" w:w="7200"/>
          </w:tcPr>
          <w:p>
            <w:r>
              <w:t>Copied to Structured CSV; level and type also guide classification and validation</w:t>
            </w:r>
          </w:p>
        </w:tc>
      </w:tr>
      <w:tr>
        <w:tc>
          <w:tcPr>
            <w:tcW w:type="dxa" w:w="2592"/>
          </w:tcPr>
          <w:p>
            <w:r>
              <w:t>column</w:t>
            </w:r>
          </w:p>
        </w:tc>
        <w:tc>
          <w:tcPr>
            <w:tcW w:type="dxa" w:w="7200"/>
          </w:tcPr>
          <w:p>
            <w:r>
              <w:t>Unique positive ColumnN physical identity</w:t>
            </w:r>
          </w:p>
        </w:tc>
      </w:tr>
      <w:tr>
        <w:tc>
          <w:tcPr>
            <w:tcW w:type="dxa" w:w="2592"/>
          </w:tcPr>
          <w:p>
            <w:r>
              <w:t>semantic_path</w:t>
            </w:r>
          </w:p>
        </w:tc>
        <w:tc>
          <w:tcPr>
            <w:tcW w:type="dxa" w:w="7200"/>
          </w:tcPr>
          <w:p>
            <w:r>
              <w:t>Selector-preserving binding_path; selector-neutral form resolves to HMD</w:t>
            </w:r>
          </w:p>
        </w:tc>
      </w:tr>
      <w:tr>
        <w:tc>
          <w:tcPr>
            <w:tcW w:type="dxa" w:w="2592"/>
          </w:tcPr>
          <w:p>
            <w:r>
              <w:t>occurrence_mode</w:t>
            </w:r>
          </w:p>
        </w:tc>
        <w:tc>
          <w:tcPr>
            <w:tcW w:type="dxa" w:w="7200"/>
          </w:tcPr>
          <w:p>
            <w:r>
              <w:t>One keyed_rows or marker_rows group and one source_rows driver; blank/single permitted elsewhere</w:t>
            </w:r>
          </w:p>
        </w:tc>
      </w:tr>
      <w:tr>
        <w:tc>
          <w:tcPr>
            <w:tcW w:type="dxa" w:w="2592"/>
          </w:tcPr>
          <w:p>
            <w:r>
              <w:t>group_key</w:t>
            </w:r>
          </w:p>
        </w:tc>
        <w:tc>
          <w:tcPr>
            <w:tcW w:type="dxa" w:w="7200"/>
          </w:tcPr>
          <w:p>
            <w:r>
              <w:t>JSON ColumnN array for keyed_rows or exact five-key object for marker_rows</w:t>
            </w:r>
          </w:p>
        </w:tc>
      </w:tr>
      <w:tr>
        <w:tc>
          <w:tcPr>
            <w:tcW w:type="dxa" w:w="2592"/>
          </w:tcPr>
          <w:p>
            <w:r>
              <w:t>row_role</w:t>
            </w:r>
          </w:p>
        </w:tc>
        <w:tc>
          <w:tcPr>
            <w:tcW w:type="dxa" w:w="7200"/>
          </w:tcPr>
          <w:p>
            <w:r>
              <w:t>group, driver, header, presence or blank</w:t>
            </w:r>
          </w:p>
        </w:tc>
      </w:tr>
      <w:tr>
        <w:tc>
          <w:tcPr>
            <w:tcW w:type="dxa" w:w="2592"/>
          </w:tcPr>
          <w:p>
            <w:r>
              <w:t>max_occurs</w:t>
            </w:r>
          </w:p>
        </w:tc>
        <w:tc>
          <w:tcPr>
            <w:tcW w:type="dxa" w:w="7200"/>
          </w:tcPr>
          <w:p>
            <w:r>
              <w:t>Positive integer when supplied; enforced for header-group count and per-group driver rows</w:t>
            </w:r>
          </w:p>
        </w:tc>
      </w:tr>
      <w:tr>
        <w:tc>
          <w:tcPr>
            <w:tcW w:type="dxa" w:w="2592"/>
          </w:tcPr>
          <w:p>
            <w:r>
              <w:t>default_value</w:t>
            </w:r>
          </w:p>
        </w:tc>
        <w:tc>
          <w:tcPr>
            <w:tcW w:type="dxa" w:w="7200"/>
          </w:tcPr>
          <w:p>
            <w:r>
              <w:t>Used when a Binding row has no physical column</w:t>
            </w:r>
          </w:p>
        </w:tc>
      </w:tr>
      <w:tr>
        <w:tc>
          <w:tcPr>
            <w:tcW w:type="dxa" w:w="2592"/>
          </w:tcPr>
          <w:p>
            <w:r>
              <w:t>transformation</w:t>
            </w:r>
          </w:p>
        </w:tc>
        <w:tc>
          <w:tcPr>
            <w:tcW w:type="dxa" w:w="7200"/>
          </w:tcPr>
          <w:p>
            <w:r>
              <w:t>Empty or jp_era_date_to_iso; applied in both directions</w:t>
            </w:r>
          </w:p>
        </w:tc>
      </w:tr>
      <w:tr>
        <w:tc>
          <w:tcPr>
            <w:tcW w:type="dxa" w:w="2592"/>
          </w:tcPr>
          <w:p>
            <w:r>
              <w:t>required</w:t>
            </w:r>
          </w:p>
        </w:tc>
        <w:tc>
          <w:tcPr>
            <w:tcW w:type="dxa" w:w="7200"/>
          </w:tcPr>
          <w:p>
            <w:r>
              <w:t>Recognized boolean; required Attribute values checked during forward conversion</w:t>
            </w:r>
          </w:p>
        </w:tc>
      </w:tr>
      <w:tr>
        <w:tc>
          <w:tcPr>
            <w:tcW w:type="dxa" w:w="2592"/>
          </w:tcPr>
          <w:p>
            <w:r>
              <w:t>note</w:t>
            </w:r>
          </w:p>
        </w:tc>
        <w:tc>
          <w:tcPr>
            <w:tcW w:type="dxa" w:w="7200"/>
          </w:tcPr>
          <w:p>
            <w:r>
              <w:t>Definition annotation; no execution effect</w:t>
            </w:r>
          </w:p>
        </w:tc>
      </w:tr>
    </w:tbl>
    <w:p>
      <w:pPr>
        <w:spacing w:after="0"/>
      </w:pPr>
    </w:p>
    <w:p>
      <w:pPr>
        <w:pStyle w:val="20"/>
      </w:pPr>
      <w:r>
        <w:t>5.3 HMD</w:t>
      </w:r>
    </w:p>
    <w:p>
      <w:r/>
      <w:r>
        <w:t>load_hmd requires semantic_path and sequence columns, rejects non-integer sequence values and duplicate non-empty semantic_path values, and builds the authoritative semantic_path-to-sequence map. Every selector-neutral Binding path must resolve and have the same sequence.</w:t>
      </w:r>
    </w:p>
    <w:p>
      <w:pPr>
        <w:pStyle w:val="20"/>
      </w:pPr>
      <w:r>
        <w:t>5.4 Canonical tidy reverse input</w:t>
      </w:r>
    </w:p>
    <w:p>
      <w:r/>
      <w:r>
        <w:t>The header must exactly equal STRUCTURED_FIELDS: entry_key, source_row, occurrence, sequence, level, type, id, name, semantic_path, binding_path, value.</w:t>
      </w:r>
    </w:p>
    <w:p>
      <w:pPr>
        <w:pStyle w:val="10"/>
      </w:pPr>
      <w:r>
        <w:t>6 Output File Specification</w:t>
      </w:r>
    </w:p>
    <w:p>
      <w:pPr>
        <w:keepNext/>
      </w:pPr>
      <w:r>
        <w:t>Table 4 summarizes flat csv output structures and ordering. The entries provide the implementation evidence used by the surrounding specification text.</w:t>
      </w:r>
    </w:p>
    <w:p>
      <w:pPr>
        <w:pStyle w:val="af2"/>
        <w:keepNext/>
        <w:jc w:val="center"/>
      </w:pPr>
      <w:r>
        <w:t>Table 4 — Flat CSV output structures and ordering</w:t>
      </w:r>
    </w:p>
    <w:tbl>
      <w:tblPr>
        <w:tblStyle w:val="af7"/>
        <w:tblW w:type="dxa" w:w="10368"/>
        <w:jc w:val="center"/>
        <w:tblLayout w:type="fixed"/>
        <w:tblLook w:firstColumn="1" w:firstRow="1" w:lastColumn="0" w:lastRow="0" w:noHBand="0" w:noVBand="1" w:val="04A0"/>
      </w:tblPr>
      <w:tblGrid>
        <w:gridCol w:w="2015"/>
        <w:gridCol w:w="4464"/>
        <w:gridCol w:w="3888"/>
      </w:tblGrid>
      <w:tr>
        <w:trPr>
          <w:tblHeader w:val="true"/>
        </w:trPr>
        <w:tc>
          <w:tcPr>
            <w:tcW w:type="dxa" w:w="2015"/>
            <w:shd w:fill="F2F2F2"/>
            <w:tcMar>
              <w:top w:w="90" w:type="dxa"/>
              <w:start w:w="110" w:type="dxa"/>
              <w:bottom w:w="90" w:type="dxa"/>
              <w:end w:w="110" w:type="dxa"/>
            </w:tcMar>
            <w:vAlign w:val="center"/>
          </w:tcPr>
          <w:p>
            <w:r>
              <w:t>Output</w:t>
            </w:r>
          </w:p>
        </w:tc>
        <w:tc>
          <w:tcPr>
            <w:tcW w:type="dxa" w:w="4464"/>
            <w:shd w:fill="F2F2F2"/>
            <w:tcMar>
              <w:top w:w="90" w:type="dxa"/>
              <w:start w:w="110" w:type="dxa"/>
              <w:bottom w:w="90" w:type="dxa"/>
              <w:end w:w="110" w:type="dxa"/>
            </w:tcMar>
            <w:vAlign w:val="center"/>
          </w:tcPr>
          <w:p>
            <w:r>
              <w:t>Fields/shape</w:t>
            </w:r>
          </w:p>
        </w:tc>
        <w:tc>
          <w:tcPr>
            <w:tcW w:type="dxa" w:w="3888"/>
            <w:shd w:fill="F2F2F2"/>
            <w:tcMar>
              <w:top w:w="90" w:type="dxa"/>
              <w:start w:w="110" w:type="dxa"/>
              <w:bottom w:w="90" w:type="dxa"/>
              <w:end w:w="110" w:type="dxa"/>
            </w:tcMar>
            <w:vAlign w:val="center"/>
          </w:tcPr>
          <w:p>
            <w:r>
              <w:t>Ordering</w:t>
            </w:r>
          </w:p>
        </w:tc>
      </w:tr>
      <w:tr>
        <w:tc>
          <w:tcPr>
            <w:tcW w:type="dxa" w:w="2015"/>
          </w:tcPr>
          <w:p>
            <w:r>
              <w:t>Structured CSV</w:t>
            </w:r>
          </w:p>
        </w:tc>
        <w:tc>
          <w:tcPr>
            <w:tcW w:type="dxa" w:w="4464"/>
          </w:tcPr>
          <w:p>
            <w:r>
              <w:t>Exact STRUCTURED_FIELDS</w:t>
            </w:r>
          </w:p>
        </w:tc>
        <w:tc>
          <w:tcPr>
            <w:tcW w:type="dxa" w:w="3888"/>
          </w:tcPr>
          <w:p>
            <w:r>
              <w:t>ROOT; per group HEADER; per source row each present variant; sequence and Binding order within blocks</w:t>
            </w:r>
          </w:p>
        </w:tc>
      </w:tr>
      <w:tr>
        <w:tc>
          <w:tcPr>
            <w:tcW w:type="dxa" w:w="2015"/>
          </w:tcPr>
          <w:p>
            <w:r>
              <w:t>Flat CSV</w:t>
            </w:r>
          </w:p>
        </w:tc>
        <w:tc>
          <w:tcPr>
            <w:tcW w:type="dxa" w:w="4464"/>
          </w:tcPr>
          <w:p>
            <w:r>
              <w:t>Headerless rows of profile_width cells</w:t>
            </w:r>
          </w:p>
        </w:tc>
        <w:tc>
          <w:tcPr>
            <w:tcW w:type="dxa" w:w="3888"/>
          </w:tcPr>
          <w:p>
            <w:r>
              <w:t>Reconstructed detail identities in source_row order; marker controls regenerated when configured</w:t>
            </w:r>
          </w:p>
        </w:tc>
      </w:tr>
      <w:tr>
        <w:tc>
          <w:tcPr>
            <w:tcW w:type="dxa" w:w="2015"/>
          </w:tcPr>
          <w:p>
            <w:r>
              <w:t>Summary JSON</w:t>
            </w:r>
          </w:p>
        </w:tc>
        <w:tc>
          <w:tcPr>
            <w:tcW w:type="dxa" w:w="4464"/>
          </w:tcPr>
          <w:p>
            <w:r>
              <w:t>Counts, width and per-column overwrite totals</w:t>
            </w:r>
          </w:p>
        </w:tc>
        <w:tc>
          <w:tcPr>
            <w:tcW w:type="dxa" w:w="3888"/>
          </w:tcPr>
          <w:p>
            <w:r>
              <w:t>Sorted keys; no accounting values or row identities</w:t>
            </w:r>
          </w:p>
        </w:tc>
      </w:tr>
      <w:tr>
        <w:tc>
          <w:tcPr>
            <w:tcW w:type="dxa" w:w="2015"/>
          </w:tcPr>
          <w:p>
            <w:r>
              <w:t>stderr</w:t>
            </w:r>
          </w:p>
        </w:tc>
        <w:tc>
          <w:tcPr>
            <w:tcW w:type="dxa" w:w="4464"/>
          </w:tcPr>
          <w:p>
            <w:r>
              <w:t>Classified safe error text</w:t>
            </w:r>
          </w:p>
        </w:tc>
        <w:tc>
          <w:tcPr>
            <w:tcW w:type="dxa" w:w="3888"/>
          </w:tcPr>
          <w:p>
            <w:r>
              <w:t>ConversionError status 2; unexpected value-free status 3</w:t>
            </w:r>
          </w:p>
        </w:tc>
      </w:tr>
    </w:tbl>
    <w:p>
      <w:pPr>
        <w:spacing w:after="0"/>
      </w:pPr>
    </w:p>
    <w:p>
      <w:pPr>
        <w:pStyle w:val="10"/>
      </w:pPr>
      <w:r>
        <w:t>7 Internal Data Model</w:t>
      </w:r>
    </w:p>
    <w:p>
      <w:pPr>
        <w:keepNext/>
      </w:pPr>
      <w:r>
        <w:t>Table 5 summarizes flat csv internal data model. The entries provide the implementation evidence used by the surrounding specification text.</w:t>
      </w:r>
    </w:p>
    <w:p>
      <w:pPr>
        <w:pStyle w:val="af2"/>
        <w:keepNext/>
        <w:jc w:val="center"/>
      </w:pPr>
      <w:r>
        <w:t>Table 5 — Flat CSV internal data model</w:t>
      </w:r>
    </w:p>
    <w:tbl>
      <w:tblPr>
        <w:tblStyle w:val="af7"/>
        <w:tblW w:type="dxa" w:w="10368"/>
        <w:jc w:val="center"/>
        <w:tblLayout w:type="fixed"/>
        <w:tblLook w:firstColumn="1" w:firstRow="1" w:lastColumn="0" w:lastRow="0" w:noHBand="0" w:noVBand="1" w:val="04A0"/>
      </w:tblPr>
      <w:tblGrid>
        <w:gridCol w:w="2088"/>
        <w:gridCol w:w="1800"/>
        <w:gridCol w:w="3456"/>
        <w:gridCol w:w="3024"/>
      </w:tblGrid>
      <w:tr>
        <w:trPr>
          <w:tblHeader w:val="true"/>
        </w:trPr>
        <w:tc>
          <w:tcPr>
            <w:tcW w:type="dxa" w:w="2088"/>
            <w:shd w:fill="F2F2F2"/>
            <w:tcMar>
              <w:top w:w="90" w:type="dxa"/>
              <w:start w:w="110" w:type="dxa"/>
              <w:bottom w:w="90" w:type="dxa"/>
              <w:end w:w="110" w:type="dxa"/>
            </w:tcMar>
            <w:vAlign w:val="center"/>
          </w:tcPr>
          <w:p>
            <w:r>
              <w:t>Structure</w:t>
            </w:r>
          </w:p>
        </w:tc>
        <w:tc>
          <w:tcPr>
            <w:tcW w:type="dxa" w:w="1800"/>
            <w:shd w:fill="F2F2F2"/>
            <w:tcMar>
              <w:top w:w="90" w:type="dxa"/>
              <w:start w:w="110" w:type="dxa"/>
              <w:bottom w:w="90" w:type="dxa"/>
              <w:end w:w="110" w:type="dxa"/>
            </w:tcMar>
            <w:vAlign w:val="center"/>
          </w:tcPr>
          <w:p>
            <w:r>
              <w:t>Type</w:t>
            </w:r>
          </w:p>
        </w:tc>
        <w:tc>
          <w:tcPr>
            <w:tcW w:type="dxa" w:w="3456"/>
            <w:shd w:fill="F2F2F2"/>
            <w:tcMar>
              <w:top w:w="90" w:type="dxa"/>
              <w:start w:w="110" w:type="dxa"/>
              <w:bottom w:w="90" w:type="dxa"/>
              <w:end w:w="110" w:type="dxa"/>
            </w:tcMar>
            <w:vAlign w:val="center"/>
          </w:tcPr>
          <w:p>
            <w:r>
              <w:t>Key/identity</w:t>
            </w:r>
          </w:p>
        </w:tc>
        <w:tc>
          <w:tcPr>
            <w:tcW w:type="dxa" w:w="3024"/>
            <w:shd w:fill="F2F2F2"/>
            <w:tcMar>
              <w:top w:w="90" w:type="dxa"/>
              <w:start w:w="110" w:type="dxa"/>
              <w:bottom w:w="90" w:type="dxa"/>
              <w:end w:w="110" w:type="dxa"/>
            </w:tcMar>
            <w:vAlign w:val="center"/>
          </w:tcPr>
          <w:p>
            <w:r>
              <w:t>Output effect</w:t>
            </w:r>
          </w:p>
        </w:tc>
      </w:tr>
      <w:tr>
        <w:tc>
          <w:tcPr>
            <w:tcW w:type="dxa" w:w="2088"/>
          </w:tcPr>
          <w:p>
            <w:r>
              <w:t>BindingRow</w:t>
            </w:r>
          </w:p>
        </w:tc>
        <w:tc>
          <w:tcPr>
            <w:tcW w:type="dxa" w:w="1800"/>
          </w:tcPr>
          <w:p>
            <w:r>
              <w:t>frozen dataclass</w:t>
            </w:r>
          </w:p>
        </w:tc>
        <w:tc>
          <w:tcPr>
            <w:tcW w:type="dxa" w:w="3456"/>
          </w:tcPr>
          <w:p>
            <w:r>
              <w:t>Binding order and 17-field mapping</w:t>
            </w:r>
          </w:p>
        </w:tc>
        <w:tc>
          <w:tcPr>
            <w:tcW w:type="dxa" w:w="3024"/>
          </w:tcPr>
          <w:p>
            <w:r>
              <w:t>One definition row</w:t>
            </w:r>
          </w:p>
        </w:tc>
      </w:tr>
      <w:tr>
        <w:tc>
          <w:tcPr>
            <w:tcW w:type="dxa" w:w="2088"/>
          </w:tcPr>
          <w:p>
            <w:r>
              <w:t>GroupSpec</w:t>
            </w:r>
          </w:p>
        </w:tc>
        <w:tc>
          <w:tcPr>
            <w:tcW w:type="dxa" w:w="1800"/>
          </w:tcPr>
          <w:p>
            <w:r>
              <w:t>frozen dataclass</w:t>
            </w:r>
          </w:p>
        </w:tc>
        <w:tc>
          <w:tcPr>
            <w:tcW w:type="dxa" w:w="3456"/>
          </w:tcPr>
          <w:p>
            <w:r>
              <w:t>keyed or marker controls</w:t>
            </w:r>
          </w:p>
        </w:tc>
        <w:tc>
          <w:tcPr>
            <w:tcW w:type="dxa" w:w="3024"/>
          </w:tcPr>
          <w:p>
            <w:r>
              <w:t>Grouping and marker regeneration</w:t>
            </w:r>
          </w:p>
        </w:tc>
      </w:tr>
      <w:tr>
        <w:tc>
          <w:tcPr>
            <w:tcW w:type="dxa" w:w="2088"/>
          </w:tcPr>
          <w:p>
            <w:r>
              <w:t>Definition</w:t>
            </w:r>
          </w:p>
        </w:tc>
        <w:tc>
          <w:tcPr>
            <w:tcW w:type="dxa" w:w="1800"/>
          </w:tcPr>
          <w:p>
            <w:r>
              <w:t>frozen dataclass</w:t>
            </w:r>
          </w:p>
        </w:tc>
        <w:tc>
          <w:tcPr>
            <w:tcW w:type="dxa" w:w="3456"/>
          </w:tcPr>
          <w:p>
            <w:r>
              <w:t>validated rows, group, driver, variants, width</w:t>
            </w:r>
          </w:p>
        </w:tc>
        <w:tc>
          <w:tcPr>
            <w:tcW w:type="dxa" w:w="3024"/>
          </w:tcPr>
          <w:p>
            <w:r>
              <w:t>Shared validated execution contract</w:t>
            </w:r>
          </w:p>
        </w:tc>
      </w:tr>
      <w:tr>
        <w:tc>
          <w:tcPr>
            <w:tcW w:type="dxa" w:w="2088"/>
          </w:tcPr>
          <w:p>
            <w:r>
              <w:t>ConversionOptions</w:t>
            </w:r>
          </w:p>
        </w:tc>
        <w:tc>
          <w:tcPr>
            <w:tcW w:type="dxa" w:w="1800"/>
          </w:tcPr>
          <w:p>
            <w:r>
              <w:t>frozen dataclass</w:t>
            </w:r>
          </w:p>
        </w:tc>
        <w:tc>
          <w:tcPr>
            <w:tcW w:type="dxa" w:w="3456"/>
          </w:tcPr>
          <w:p>
            <w:r>
              <w:t>paths, encodings, width, flags</w:t>
            </w:r>
          </w:p>
        </w:tc>
        <w:tc>
          <w:tcPr>
            <w:tcW w:type="dxa" w:w="3024"/>
          </w:tcPr>
          <w:p>
            <w:r>
              <w:t>One directional invocation</w:t>
            </w:r>
          </w:p>
        </w:tc>
      </w:tr>
      <w:tr>
        <w:tc>
          <w:tcPr>
            <w:tcW w:type="dxa" w:w="2088"/>
          </w:tcPr>
          <w:p>
            <w:r>
              <w:t>ConversionSummary</w:t>
            </w:r>
          </w:p>
        </w:tc>
        <w:tc>
          <w:tcPr>
            <w:tcW w:type="dxa" w:w="1800"/>
          </w:tcPr>
          <w:p>
            <w:r>
              <w:t>frozen dataclass</w:t>
            </w:r>
          </w:p>
        </w:tc>
        <w:tc>
          <w:tcPr>
            <w:tcW w:type="dxa" w:w="3456"/>
          </w:tcPr>
          <w:p>
            <w:r>
              <w:t>row/width/overwrite counts</w:t>
            </w:r>
          </w:p>
        </w:tc>
        <w:tc>
          <w:tcPr>
            <w:tcW w:type="dxa" w:w="3024"/>
          </w:tcPr>
          <w:p>
            <w:r>
              <w:t>Value-free JSON-compatible result</w:t>
            </w:r>
          </w:p>
        </w:tc>
      </w:tr>
      <w:tr>
        <w:tc>
          <w:tcPr>
            <w:tcW w:type="dxa" w:w="2088"/>
          </w:tcPr>
          <w:p>
            <w:r>
              <w:t>records</w:t>
            </w:r>
          </w:p>
        </w:tc>
        <w:tc>
          <w:tcPr>
            <w:tcW w:type="dxa" w:w="1800"/>
          </w:tcPr>
          <w:p>
            <w:r>
              <w:t>list[dict[str,str]]</w:t>
            </w:r>
          </w:p>
        </w:tc>
        <w:tc>
          <w:tcPr>
            <w:tcW w:type="dxa" w:w="3456"/>
          </w:tcPr>
          <w:p>
            <w:r>
              <w:t>entry_key + source_row + occurrence + binding_path</w:t>
            </w:r>
          </w:p>
        </w:tc>
        <w:tc>
          <w:tcPr>
            <w:tcW w:type="dxa" w:w="3024"/>
          </w:tcPr>
          <w:p>
            <w:r>
              <w:t>Structured CSV rows</w:t>
            </w:r>
          </w:p>
        </w:tc>
      </w:tr>
      <w:tr>
        <w:tc>
          <w:tcPr>
            <w:tcW w:type="dxa" w:w="2088"/>
          </w:tcPr>
          <w:p>
            <w:r>
              <w:t>header_values</w:t>
            </w:r>
          </w:p>
        </w:tc>
        <w:tc>
          <w:tcPr>
            <w:tcW w:type="dxa" w:w="1800"/>
          </w:tcPr>
          <w:p>
            <w:r>
              <w:t>defaultdict(list)</w:t>
            </w:r>
          </w:p>
        </w:tc>
        <w:tc>
          <w:tcPr>
            <w:tcW w:type="dxa" w:w="3456"/>
          </w:tcPr>
          <w:p>
            <w:r>
              <w:t>entry_key</w:t>
            </w:r>
          </w:p>
        </w:tc>
        <w:tc>
          <w:tcPr>
            <w:tcW w:type="dxa" w:w="3024"/>
          </w:tcPr>
          <w:p>
            <w:r>
              <w:t>Header facts for reverse rows</w:t>
            </w:r>
          </w:p>
        </w:tc>
      </w:tr>
      <w:tr>
        <w:tc>
          <w:tcPr>
            <w:tcW w:type="dxa" w:w="2088"/>
          </w:tcPr>
          <w:p>
            <w:r>
              <w:t>details</w:t>
            </w:r>
          </w:p>
        </w:tc>
        <w:tc>
          <w:tcPr>
            <w:tcW w:type="dxa" w:w="1800"/>
          </w:tcPr>
          <w:p>
            <w:r>
              <w:t>defaultdict(list)</w:t>
            </w:r>
          </w:p>
        </w:tc>
        <w:tc>
          <w:tcPr>
            <w:tcW w:type="dxa" w:w="3456"/>
          </w:tcPr>
          <w:p>
            <w:r>
              <w:t>(entry_key, source_row)</w:t>
            </w:r>
          </w:p>
        </w:tc>
        <w:tc>
          <w:tcPr>
            <w:tcW w:type="dxa" w:w="3024"/>
          </w:tcPr>
          <w:p>
            <w:r>
              <w:t>One reconstructed Flat CSV row per key</w:t>
            </w:r>
          </w:p>
        </w:tc>
      </w:tr>
      <w:tr>
        <w:tc>
          <w:tcPr>
            <w:tcW w:type="dxa" w:w="2088"/>
          </w:tcPr>
          <w:p>
            <w:r>
              <w:t>target</w:t>
            </w:r>
          </w:p>
        </w:tc>
        <w:tc>
          <w:tcPr>
            <w:tcW w:type="dxa" w:w="1800"/>
          </w:tcPr>
          <w:p>
            <w:r>
              <w:t>list[str]</w:t>
            </w:r>
          </w:p>
        </w:tc>
        <w:tc>
          <w:tcPr>
            <w:tcW w:type="dxa" w:w="3456"/>
          </w:tcPr>
          <w:p>
            <w:r>
              <w:t>ColumnN maps to N-1</w:t>
            </w:r>
          </w:p>
        </w:tc>
        <w:tc>
          <w:tcPr>
            <w:tcW w:type="dxa" w:w="3024"/>
          </w:tcPr>
          <w:p>
            <w:r>
              <w:t>One exact-width physical row</w:t>
            </w:r>
          </w:p>
        </w:tc>
      </w:tr>
      <w:tr>
        <w:tc>
          <w:tcPr>
            <w:tcW w:type="dxa" w:w="2088"/>
          </w:tcPr>
          <w:p>
            <w:r>
              <w:t>overwrite_counts</w:t>
            </w:r>
          </w:p>
        </w:tc>
        <w:tc>
          <w:tcPr>
            <w:tcW w:type="dxa" w:w="1800"/>
          </w:tcPr>
          <w:p>
            <w:r>
              <w:t>Counter[str]</w:t>
            </w:r>
          </w:p>
        </w:tc>
        <w:tc>
          <w:tcPr>
            <w:tcW w:type="dxa" w:w="3456"/>
          </w:tcPr>
          <w:p>
            <w:r>
              <w:t>physical column</w:t>
            </w:r>
          </w:p>
        </w:tc>
        <w:tc>
          <w:tcPr>
            <w:tcW w:type="dxa" w:w="3024"/>
          </w:tcPr>
          <w:p>
            <w:r>
              <w:t>Value-free conflict summary</w:t>
            </w:r>
          </w:p>
        </w:tc>
      </w:tr>
    </w:tbl>
    <w:p>
      <w:pPr>
        <w:spacing w:after="0"/>
      </w:pPr>
    </w:p>
    <w:p>
      <w:pPr>
        <w:pStyle w:val="10"/>
      </w:pPr>
      <w:r>
        <w:t>8 Class Specification</w:t>
      </w:r>
    </w:p>
    <w:p>
      <w:pPr>
        <w:keepNext/>
      </w:pPr>
      <w:r>
        <w:t>Table 6 summarizes flat csv runtime classes. The entries provide the implementation evidence used by the surrounding specification text.</w:t>
      </w:r>
    </w:p>
    <w:p>
      <w:pPr>
        <w:pStyle w:val="af2"/>
        <w:keepNext/>
        <w:jc w:val="center"/>
      </w:pPr>
      <w:r>
        <w:t>Table 6 — Flat CSV runtime classes</w:t>
      </w:r>
    </w:p>
    <w:tbl>
      <w:tblPr>
        <w:tblStyle w:val="af7"/>
        <w:tblW w:type="dxa" w:w="10944"/>
        <w:jc w:val="center"/>
        <w:tblLayout w:type="fixed"/>
        <w:tblLook w:firstColumn="1" w:firstRow="1" w:lastColumn="0" w:lastRow="0" w:noHBand="0" w:noVBand="1" w:val="04A0"/>
      </w:tblPr>
      <w:tblGrid>
        <w:gridCol w:w="2304"/>
        <w:gridCol w:w="3456"/>
        <w:gridCol w:w="3024"/>
        <w:gridCol w:w="2160"/>
      </w:tblGrid>
      <w:tr>
        <w:trPr>
          <w:tblHeader w:val="true"/>
        </w:trPr>
        <w:tc>
          <w:tcPr>
            <w:tcW w:type="dxa" w:w="2304"/>
            <w:shd w:fill="F2F2F2"/>
            <w:tcMar>
              <w:top w:w="90" w:type="dxa"/>
              <w:start w:w="110" w:type="dxa"/>
              <w:bottom w:w="90" w:type="dxa"/>
              <w:end w:w="110" w:type="dxa"/>
            </w:tcMar>
            <w:vAlign w:val="center"/>
          </w:tcPr>
          <w:p>
            <w:r>
              <w:t>Class</w:t>
            </w:r>
          </w:p>
        </w:tc>
        <w:tc>
          <w:tcPr>
            <w:tcW w:type="dxa" w:w="3456"/>
            <w:shd w:fill="F2F2F2"/>
            <w:tcMar>
              <w:top w:w="90" w:type="dxa"/>
              <w:start w:w="110" w:type="dxa"/>
              <w:bottom w:w="90" w:type="dxa"/>
              <w:end w:w="110" w:type="dxa"/>
            </w:tcMar>
            <w:vAlign w:val="center"/>
          </w:tcPr>
          <w:p>
            <w:r>
              <w:t>Responsibility</w:t>
            </w:r>
          </w:p>
        </w:tc>
        <w:tc>
          <w:tcPr>
            <w:tcW w:type="dxa" w:w="3024"/>
            <w:shd w:fill="F2F2F2"/>
            <w:tcMar>
              <w:top w:w="90" w:type="dxa"/>
              <w:start w:w="110" w:type="dxa"/>
              <w:bottom w:w="90" w:type="dxa"/>
              <w:end w:w="110" w:type="dxa"/>
            </w:tcMar>
            <w:vAlign w:val="center"/>
          </w:tcPr>
          <w:p>
            <w:r>
              <w:t>Owned state</w:t>
            </w:r>
          </w:p>
        </w:tc>
        <w:tc>
          <w:tcPr>
            <w:tcW w:type="dxa" w:w="2160"/>
            <w:shd w:fill="F2F2F2"/>
            <w:tcMar>
              <w:top w:w="90" w:type="dxa"/>
              <w:start w:w="110" w:type="dxa"/>
              <w:bottom w:w="90" w:type="dxa"/>
              <w:end w:w="110" w:type="dxa"/>
            </w:tcMar>
            <w:vAlign w:val="center"/>
          </w:tcPr>
          <w:p>
            <w:r>
              <w:t>Invariant</w:t>
            </w:r>
          </w:p>
        </w:tc>
      </w:tr>
      <w:tr>
        <w:tc>
          <w:tcPr>
            <w:tcW w:type="dxa" w:w="2304"/>
          </w:tcPr>
          <w:p>
            <w:r>
              <w:t>ConversionError</w:t>
            </w:r>
          </w:p>
        </w:tc>
        <w:tc>
          <w:tcPr>
            <w:tcW w:type="dxa" w:w="3456"/>
          </w:tcPr>
          <w:p>
            <w:r>
              <w:t>Classified value-safe failure</w:t>
            </w:r>
          </w:p>
        </w:tc>
        <w:tc>
          <w:tcPr>
            <w:tcW w:type="dxa" w:w="3024"/>
          </w:tcPr>
          <w:p>
            <w:r>
              <w:t>kind and message</w:t>
            </w:r>
          </w:p>
        </w:tc>
        <w:tc>
          <w:tcPr>
            <w:tcW w:type="dxa" w:w="2160"/>
          </w:tcPr>
          <w:p>
            <w:r>
              <w:t>String form contains no source value</w:t>
            </w:r>
          </w:p>
        </w:tc>
      </w:tr>
      <w:tr>
        <w:tc>
          <w:tcPr>
            <w:tcW w:type="dxa" w:w="2304"/>
          </w:tcPr>
          <w:p>
            <w:r>
              <w:t>BindingRow</w:t>
            </w:r>
          </w:p>
        </w:tc>
        <w:tc>
          <w:tcPr>
            <w:tcW w:type="dxa" w:w="3456"/>
          </w:tcPr>
          <w:p>
            <w:r>
              <w:t>Expose typed Binding properties</w:t>
            </w:r>
          </w:p>
        </w:tc>
        <w:tc>
          <w:tcPr>
            <w:tcW w:type="dxa" w:w="3024"/>
          </w:tcPr>
          <w:p>
            <w:r>
              <w:t>order and immutable values mapping</w:t>
            </w:r>
          </w:p>
        </w:tc>
        <w:tc>
          <w:tcPr>
            <w:tcW w:type="dxa" w:w="2160"/>
          </w:tcPr>
          <w:p>
            <w:r>
              <w:t>sequence/level/max_occurs are validated integers</w:t>
            </w:r>
          </w:p>
        </w:tc>
      </w:tr>
      <w:tr>
        <w:tc>
          <w:tcPr>
            <w:tcW w:type="dxa" w:w="2304"/>
          </w:tcPr>
          <w:p>
            <w:r>
              <w:t>GroupSpec</w:t>
            </w:r>
          </w:p>
        </w:tc>
        <w:tc>
          <w:tcPr>
            <w:tcW w:type="dxa" w:w="3456"/>
          </w:tcPr>
          <w:p>
            <w:r>
              <w:t>Represent keyed or marker grouping</w:t>
            </w:r>
          </w:p>
        </w:tc>
        <w:tc>
          <w:tcPr>
            <w:tcW w:type="dxa" w:w="3024"/>
          </w:tcPr>
          <w:p>
            <w:r>
              <w:t>columns or marker controls</w:t>
            </w:r>
          </w:p>
        </w:tc>
        <w:tc>
          <w:tcPr>
            <w:tcW w:type="dxa" w:w="2160"/>
          </w:tcPr>
          <w:p>
            <w:r>
              <w:t>Marker codes are distinct and non-empty</w:t>
            </w:r>
          </w:p>
        </w:tc>
      </w:tr>
      <w:tr>
        <w:tc>
          <w:tcPr>
            <w:tcW w:type="dxa" w:w="2304"/>
          </w:tcPr>
          <w:p>
            <w:r>
              <w:t>ConversionOptions</w:t>
            </w:r>
          </w:p>
        </w:tc>
        <w:tc>
          <w:tcPr>
            <w:tcW w:type="dxa" w:w="3456"/>
          </w:tcPr>
          <w:p>
            <w:r>
              <w:t>Carry one invocation</w:t>
            </w:r>
          </w:p>
        </w:tc>
        <w:tc>
          <w:tcPr>
            <w:tcW w:type="dxa" w:w="3024"/>
          </w:tcPr>
          <w:p>
            <w:r>
              <w:t>input/output/definition options</w:t>
            </w:r>
          </w:p>
        </w:tc>
        <w:tc>
          <w:tcPr>
            <w:tcW w:type="dxa" w:w="2160"/>
          </w:tcPr>
          <w:p>
            <w:r>
              <w:t>Direction resolves physical encodings explicitly</w:t>
            </w:r>
          </w:p>
        </w:tc>
      </w:tr>
      <w:tr>
        <w:tc>
          <w:tcPr>
            <w:tcW w:type="dxa" w:w="2304"/>
          </w:tcPr>
          <w:p>
            <w:r>
              <w:t>ConversionSummary</w:t>
            </w:r>
          </w:p>
        </w:tc>
        <w:tc>
          <w:tcPr>
            <w:tcW w:type="dxa" w:w="3456"/>
          </w:tcPr>
          <w:p>
            <w:r>
              <w:t>Report aggregate outcome</w:t>
            </w:r>
          </w:p>
        </w:tc>
        <w:tc>
          <w:tcPr>
            <w:tcW w:type="dxa" w:w="3024"/>
          </w:tcPr>
          <w:p>
            <w:r>
              <w:t>counts only</w:t>
            </w:r>
          </w:p>
        </w:tc>
        <w:tc>
          <w:tcPr>
            <w:tcW w:type="dxa" w:w="2160"/>
          </w:tcPr>
          <w:p>
            <w:r>
              <w:t>No business value is stored</w:t>
            </w:r>
          </w:p>
        </w:tc>
      </w:tr>
      <w:tr>
        <w:tc>
          <w:tcPr>
            <w:tcW w:type="dxa" w:w="2304"/>
          </w:tcPr>
          <w:p>
            <w:r>
              <w:t>Definition</w:t>
            </w:r>
          </w:p>
        </w:tc>
        <w:tc>
          <w:tcPr>
            <w:tcW w:type="dxa" w:w="3456"/>
          </w:tcPr>
          <w:p>
            <w:r>
              <w:t>Hold the validated model</w:t>
            </w:r>
          </w:p>
        </w:tc>
        <w:tc>
          <w:tcPr>
            <w:tcW w:type="dxa" w:w="3024"/>
          </w:tcPr>
          <w:p>
            <w:r>
              <w:t>rows, HMD map, group, driver, variants, width</w:t>
            </w:r>
          </w:p>
        </w:tc>
        <w:tc>
          <w:tcPr>
            <w:tcW w:type="dxa" w:w="2160"/>
          </w:tcPr>
          <w:p>
            <w:r>
              <w:t>Exactly one group and driver</w:t>
            </w:r>
          </w:p>
        </w:tc>
      </w:tr>
    </w:tbl>
    <w:p>
      <w:pPr>
        <w:spacing w:after="0"/>
      </w:pPr>
    </w:p>
    <w:p>
      <w:pPr>
        <w:pStyle w:val="10"/>
      </w:pPr>
      <w:r>
        <w:t>9 Object Specification</w:t>
      </w:r>
    </w:p>
    <w:p>
      <w:pPr>
        <w:keepNext/>
      </w:pPr>
      <w:r>
        <w:t>Table 7 summarizes flat csv runtime object lifecycle. The entries provide the implementation evidence used by the surrounding specification text.</w:t>
      </w:r>
    </w:p>
    <w:p>
      <w:pPr>
        <w:pStyle w:val="af2"/>
        <w:keepNext/>
        <w:jc w:val="center"/>
      </w:pPr>
      <w:r>
        <w:t>Table 7 — Flat CSV runtime object lifecycle</w:t>
      </w:r>
    </w:p>
    <w:tbl>
      <w:tblPr>
        <w:tblStyle w:val="af7"/>
        <w:tblW w:type="dxa" w:w="10944"/>
        <w:jc w:val="center"/>
        <w:tblLayout w:type="fixed"/>
        <w:tblLook w:firstColumn="1" w:firstRow="1" w:lastColumn="0" w:lastRow="0" w:noHBand="0" w:noVBand="1" w:val="04A0"/>
      </w:tblPr>
      <w:tblGrid>
        <w:gridCol w:w="2160"/>
        <w:gridCol w:w="2448"/>
        <w:gridCol w:w="3744"/>
        <w:gridCol w:w="2592"/>
      </w:tblGrid>
      <w:tr>
        <w:trPr>
          <w:tblHeader w:val="true"/>
        </w:trPr>
        <w:tc>
          <w:tcPr>
            <w:tcW w:type="dxa" w:w="2160"/>
            <w:shd w:fill="F2F2F2"/>
            <w:tcMar>
              <w:top w:w="90" w:type="dxa"/>
              <w:start w:w="110" w:type="dxa"/>
              <w:bottom w:w="90" w:type="dxa"/>
              <w:end w:w="110" w:type="dxa"/>
            </w:tcMar>
            <w:vAlign w:val="center"/>
          </w:tcPr>
          <w:p>
            <w:r>
              <w:t>Object</w:t>
            </w:r>
          </w:p>
        </w:tc>
        <w:tc>
          <w:tcPr>
            <w:tcW w:type="dxa" w:w="2448"/>
            <w:shd w:fill="F2F2F2"/>
            <w:tcMar>
              <w:top w:w="90" w:type="dxa"/>
              <w:start w:w="110" w:type="dxa"/>
              <w:bottom w:w="90" w:type="dxa"/>
              <w:end w:w="110" w:type="dxa"/>
            </w:tcMar>
            <w:vAlign w:val="center"/>
          </w:tcPr>
          <w:p>
            <w:r>
              <w:t>Creation</w:t>
            </w:r>
          </w:p>
        </w:tc>
        <w:tc>
          <w:tcPr>
            <w:tcW w:type="dxa" w:w="3744"/>
            <w:shd w:fill="F2F2F2"/>
            <w:tcMar>
              <w:top w:w="90" w:type="dxa"/>
              <w:start w:w="110" w:type="dxa"/>
              <w:bottom w:w="90" w:type="dxa"/>
              <w:end w:w="110" w:type="dxa"/>
            </w:tcMar>
            <w:vAlign w:val="center"/>
          </w:tcPr>
          <w:p>
            <w:r>
              <w:t>Identity / reuse</w:t>
            </w:r>
          </w:p>
        </w:tc>
        <w:tc>
          <w:tcPr>
            <w:tcW w:type="dxa" w:w="2592"/>
            <w:shd w:fill="F2F2F2"/>
            <w:tcMar>
              <w:top w:w="90" w:type="dxa"/>
              <w:start w:w="110" w:type="dxa"/>
              <w:bottom w:w="90" w:type="dxa"/>
              <w:end w:w="110" w:type="dxa"/>
            </w:tcMar>
            <w:vAlign w:val="center"/>
          </w:tcPr>
          <w:p>
            <w:r>
              <w:t>End state</w:t>
            </w:r>
          </w:p>
        </w:tc>
      </w:tr>
      <w:tr>
        <w:tc>
          <w:tcPr>
            <w:tcW w:type="dxa" w:w="2160"/>
          </w:tcPr>
          <w:p>
            <w:r>
              <w:t>Definition</w:t>
            </w:r>
          </w:p>
        </w:tc>
        <w:tc>
          <w:tcPr>
            <w:tcW w:type="dxa" w:w="2448"/>
          </w:tcPr>
          <w:p>
            <w:r>
              <w:t>_definition</w:t>
            </w:r>
          </w:p>
        </w:tc>
        <w:tc>
          <w:tcPr>
            <w:tcW w:type="dxa" w:w="3744"/>
          </w:tcPr>
          <w:p>
            <w:r>
              <w:t>one per conversion</w:t>
            </w:r>
          </w:p>
        </w:tc>
        <w:tc>
          <w:tcPr>
            <w:tcW w:type="dxa" w:w="2592"/>
          </w:tcPr>
          <w:p>
            <w:r>
              <w:t>Reused by forward or reverse processing</w:t>
            </w:r>
          </w:p>
        </w:tc>
      </w:tr>
      <w:tr>
        <w:tc>
          <w:tcPr>
            <w:tcW w:type="dxa" w:w="2160"/>
          </w:tcPr>
          <w:p>
            <w:r>
              <w:t>Header occurrence</w:t>
            </w:r>
          </w:p>
        </w:tc>
        <w:tc>
          <w:tcPr>
            <w:tcW w:type="dxa" w:w="2448"/>
          </w:tcPr>
          <w:p>
            <w:r>
              <w:t>group_source_rows and _header_source</w:t>
            </w:r>
          </w:p>
        </w:tc>
        <w:tc>
          <w:tcPr>
            <w:tcW w:type="dxa" w:w="3744"/>
          </w:tcPr>
          <w:p>
            <w:r>
              <w:t>entry_key</w:t>
            </w:r>
          </w:p>
        </w:tc>
        <w:tc>
          <w:tcPr>
            <w:tcW w:type="dxa" w:w="2592"/>
          </w:tcPr>
          <w:p>
            <w:r>
              <w:t>HEADER Structured CSV records</w:t>
            </w:r>
          </w:p>
        </w:tc>
      </w:tr>
      <w:tr>
        <w:tc>
          <w:tcPr>
            <w:tcW w:type="dxa" w:w="2160"/>
          </w:tcPr>
          <w:p>
            <w:r>
              <w:t>Detail occurrence</w:t>
            </w:r>
          </w:p>
        </w:tc>
        <w:tc>
          <w:tcPr>
            <w:tcW w:type="dxa" w:w="2448"/>
          </w:tcPr>
          <w:p>
            <w:r>
              <w:t>convert_to_structured nested loops</w:t>
            </w:r>
          </w:p>
        </w:tc>
        <w:tc>
          <w:tcPr>
            <w:tcW w:type="dxa" w:w="3744"/>
          </w:tcPr>
          <w:p>
            <w:r>
              <w:t>entry_key + source_row + variant</w:t>
            </w:r>
          </w:p>
        </w:tc>
        <w:tc>
          <w:tcPr>
            <w:tcW w:type="dxa" w:w="2592"/>
          </w:tcPr>
          <w:p>
            <w:r>
              <w:t>One ordered Structured CSV block</w:t>
            </w:r>
          </w:p>
        </w:tc>
      </w:tr>
      <w:tr>
        <w:tc>
          <w:tcPr>
            <w:tcW w:type="dxa" w:w="2160"/>
          </w:tcPr>
          <w:p>
            <w:r>
              <w:t>Optional Class</w:t>
            </w:r>
          </w:p>
        </w:tc>
        <w:tc>
          <w:tcPr>
            <w:tcW w:type="dxa" w:w="2448"/>
          </w:tcPr>
          <w:p>
            <w:r>
              <w:t>_active_rows</w:t>
            </w:r>
          </w:p>
        </w:tc>
        <w:tc>
          <w:tcPr>
            <w:tcW w:type="dxa" w:w="3744"/>
          </w:tcPr>
          <w:p>
            <w:r>
              <w:t>Class path in current occurrence</w:t>
            </w:r>
          </w:p>
        </w:tc>
        <w:tc>
          <w:tcPr>
            <w:tcW w:type="dxa" w:w="2592"/>
          </w:tcPr>
          <w:p>
            <w:r>
              <w:t>Suppressed when all physical descendants are empty</w:t>
            </w:r>
          </w:p>
        </w:tc>
      </w:tr>
      <w:tr>
        <w:tc>
          <w:tcPr>
            <w:tcW w:type="dxa" w:w="2160"/>
          </w:tcPr>
          <w:p>
            <w:r>
              <w:t>Reverse physical row</w:t>
            </w:r>
          </w:p>
        </w:tc>
        <w:tc>
          <w:tcPr>
            <w:tcW w:type="dxa" w:w="2448"/>
          </w:tcPr>
          <w:p>
            <w:r>
              <w:t>convert_to_flat</w:t>
            </w:r>
          </w:p>
        </w:tc>
        <w:tc>
          <w:tcPr>
            <w:tcW w:type="dxa" w:w="3744"/>
          </w:tcPr>
          <w:p>
            <w:r>
              <w:t>(entry_key, source_row)</w:t>
            </w:r>
          </w:p>
        </w:tc>
        <w:tc>
          <w:tcPr>
            <w:tcW w:type="dxa" w:w="2592"/>
          </w:tcPr>
          <w:p>
            <w:r>
              <w:t>One exact-width list serialized once</w:t>
            </w:r>
          </w:p>
        </w:tc>
      </w:tr>
      <w:tr>
        <w:tc>
          <w:tcPr>
            <w:tcW w:type="dxa" w:w="2160"/>
          </w:tcPr>
          <w:p>
            <w:r>
              <w:t>Shared cell</w:t>
            </w:r>
          </w:p>
        </w:tc>
        <w:tc>
          <w:tcPr>
            <w:tcW w:type="dxa" w:w="2448"/>
          </w:tcPr>
          <w:p>
            <w:r>
              <w:t>reverse assignment</w:t>
            </w:r>
          </w:p>
        </w:tc>
        <w:tc>
          <w:tcPr>
            <w:tcW w:type="dxa" w:w="3744"/>
          </w:tcPr>
          <w:p>
            <w:r>
              <w:t>ColumnN in one target</w:t>
            </w:r>
          </w:p>
        </w:tc>
        <w:tc>
          <w:tcPr>
            <w:tcW w:type="dxa" w:w="2592"/>
          </w:tcPr>
          <w:p>
            <w:r>
              <w:t>Later non-empty value wins; aggregate increments</w:t>
            </w:r>
          </w:p>
        </w:tc>
      </w:tr>
    </w:tbl>
    <w:p>
      <w:pPr>
        <w:spacing w:after="0"/>
      </w:pPr>
    </w:p>
    <w:p>
      <w:pPr>
        <w:pStyle w:val="10"/>
      </w:pPr>
      <w:r>
        <w:t>10 Collection and List Specification</w:t>
      </w:r>
    </w:p>
    <w:p>
      <w:pPr>
        <w:keepNext/>
      </w:pPr>
      <w:r>
        <w:t>Table 8 summarizes flat csv collections and mutation rules. The entries provide the implementation evidence used by the surrounding specification text.</w:t>
      </w:r>
    </w:p>
    <w:p>
      <w:pPr>
        <w:pStyle w:val="af2"/>
        <w:keepNext/>
        <w:jc w:val="center"/>
      </w:pPr>
      <w:r>
        <w:t>Table 8 — Flat CSV collections and mutation rules</w:t>
      </w:r>
    </w:p>
    <w:tbl>
      <w:tblPr>
        <w:tblStyle w:val="af7"/>
        <w:tblW w:type="dxa" w:w="10944"/>
        <w:jc w:val="center"/>
        <w:tblLayout w:type="fixed"/>
        <w:tblLook w:firstColumn="1" w:firstRow="1" w:lastColumn="0" w:lastRow="0" w:noHBand="0" w:noVBand="1" w:val="04A0"/>
      </w:tblPr>
      <w:tblGrid>
        <w:gridCol w:w="2304"/>
        <w:gridCol w:w="3311"/>
        <w:gridCol w:w="2880"/>
        <w:gridCol w:w="2448"/>
      </w:tblGrid>
      <w:tr>
        <w:trPr>
          <w:tblHeader w:val="true"/>
        </w:trPr>
        <w:tc>
          <w:tcPr>
            <w:tcW w:type="dxa" w:w="2304"/>
            <w:shd w:fill="F2F2F2"/>
            <w:tcMar>
              <w:top w:w="90" w:type="dxa"/>
              <w:start w:w="110" w:type="dxa"/>
              <w:bottom w:w="90" w:type="dxa"/>
              <w:end w:w="110" w:type="dxa"/>
            </w:tcMar>
            <w:vAlign w:val="center"/>
          </w:tcPr>
          <w:p>
            <w:pPr>
              <w:spacing w:after="0"/>
            </w:pPr>
            <w:r>
              <w:rPr>
                <w:b/>
                <w:color w:val="000000"/>
                <w:sz w:val="18"/>
              </w:rPr>
              <w:t>Collection</w:t>
            </w:r>
          </w:p>
        </w:tc>
        <w:tc>
          <w:tcPr>
            <w:tcW w:type="dxa" w:w="3311"/>
            <w:shd w:fill="F2F2F2"/>
            <w:tcMar>
              <w:top w:w="90" w:type="dxa"/>
              <w:start w:w="110" w:type="dxa"/>
              <w:bottom w:w="90" w:type="dxa"/>
              <w:end w:w="110" w:type="dxa"/>
            </w:tcMar>
            <w:vAlign w:val="center"/>
          </w:tcPr>
          <w:p>
            <w:pPr>
              <w:spacing w:after="0"/>
            </w:pPr>
            <w:r>
              <w:rPr>
                <w:b/>
                <w:color w:val="000000"/>
                <w:sz w:val="18"/>
              </w:rPr>
              <w:t>Ordering</w:t>
            </w:r>
          </w:p>
        </w:tc>
        <w:tc>
          <w:tcPr>
            <w:tcW w:type="dxa" w:w="2880"/>
            <w:shd w:fill="F2F2F2"/>
            <w:tcMar>
              <w:top w:w="90" w:type="dxa"/>
              <w:start w:w="110" w:type="dxa"/>
              <w:bottom w:w="90" w:type="dxa"/>
              <w:end w:w="110" w:type="dxa"/>
            </w:tcMar>
            <w:vAlign w:val="center"/>
          </w:tcPr>
          <w:p>
            <w:pPr>
              <w:spacing w:after="0"/>
            </w:pPr>
            <w:r>
              <w:rPr>
                <w:b/>
                <w:color w:val="000000"/>
                <w:sz w:val="18"/>
              </w:rPr>
              <w:t>Uniqueness</w:t>
            </w:r>
          </w:p>
        </w:tc>
        <w:tc>
          <w:tcPr>
            <w:tcW w:type="dxa" w:w="2448"/>
            <w:shd w:fill="F2F2F2"/>
            <w:tcMar>
              <w:top w:w="90" w:type="dxa"/>
              <w:start w:w="110" w:type="dxa"/>
              <w:bottom w:w="90" w:type="dxa"/>
              <w:end w:w="110" w:type="dxa"/>
            </w:tcMar>
            <w:vAlign w:val="center"/>
          </w:tcPr>
          <w:p>
            <w:pPr>
              <w:spacing w:after="0"/>
            </w:pPr>
            <w:r>
              <w:rPr>
                <w:b/>
                <w:color w:val="000000"/>
                <w:sz w:val="18"/>
              </w:rPr>
              <w:t>Mutation</w:t>
            </w:r>
          </w:p>
        </w:tc>
      </w:tr>
      <w:tr>
        <w:tc>
          <w:tcPr>
            <w:tcW w:type="dxa" w:w="2304"/>
            <w:tcMar>
              <w:top w:w="90" w:type="dxa"/>
              <w:start w:w="110" w:type="dxa"/>
              <w:bottom w:w="90" w:type="dxa"/>
              <w:end w:w="110" w:type="dxa"/>
            </w:tcMar>
            <w:vAlign w:val="center"/>
          </w:tcPr>
          <w:p>
            <w:pPr>
              <w:spacing w:after="0" w:line="240" w:lineRule="auto"/>
            </w:pPr>
            <w:r>
              <w:rPr>
                <w:sz w:val="17"/>
              </w:rPr>
              <w:t>physical columns</w:t>
            </w:r>
          </w:p>
        </w:tc>
        <w:tc>
          <w:tcPr>
            <w:tcW w:type="dxa" w:w="3311"/>
            <w:tcMar>
              <w:top w:w="90" w:type="dxa"/>
              <w:start w:w="110" w:type="dxa"/>
              <w:bottom w:w="90" w:type="dxa"/>
              <w:end w:w="110" w:type="dxa"/>
            </w:tcMar>
            <w:vAlign w:val="center"/>
          </w:tcPr>
          <w:p>
            <w:pPr>
              <w:spacing w:after="0" w:line="240" w:lineRule="auto"/>
            </w:pPr>
            <w:r>
              <w:rPr>
                <w:sz w:val="17"/>
              </w:rPr>
              <w:t>Binding order</w:t>
            </w:r>
          </w:p>
        </w:tc>
        <w:tc>
          <w:tcPr>
            <w:tcW w:type="dxa" w:w="2880"/>
            <w:tcMar>
              <w:top w:w="90" w:type="dxa"/>
              <w:start w:w="110" w:type="dxa"/>
              <w:bottom w:w="90" w:type="dxa"/>
              <w:end w:w="110" w:type="dxa"/>
            </w:tcMar>
            <w:vAlign w:val="center"/>
          </w:tcPr>
          <w:p>
            <w:pPr>
              <w:spacing w:after="0" w:line="240" w:lineRule="auto"/>
            </w:pPr>
            <w:r>
              <w:rPr>
                <w:sz w:val="17"/>
              </w:rPr>
              <w:t>Non-empty ColumnN must be unique</w:t>
            </w:r>
          </w:p>
        </w:tc>
        <w:tc>
          <w:tcPr>
            <w:tcW w:type="dxa" w:w="2448"/>
            <w:tcMar>
              <w:top w:w="90" w:type="dxa"/>
              <w:start w:w="110" w:type="dxa"/>
              <w:bottom w:w="90" w:type="dxa"/>
              <w:end w:w="110" w:type="dxa"/>
            </w:tcMar>
            <w:vAlign w:val="center"/>
          </w:tcPr>
          <w:p>
            <w:pPr>
              <w:spacing w:after="0" w:line="240" w:lineRule="auto"/>
            </w:pPr>
            <w:r>
              <w:rPr>
                <w:sz w:val="17"/>
              </w:rPr>
              <w:t>Validated only</w:t>
            </w:r>
          </w:p>
        </w:tc>
      </w:tr>
      <w:tr>
        <w:tc>
          <w:tcPr>
            <w:tcW w:type="dxa" w:w="2304"/>
            <w:tcMar>
              <w:top w:w="90" w:type="dxa"/>
              <w:start w:w="110" w:type="dxa"/>
              <w:bottom w:w="90" w:type="dxa"/>
              <w:end w:w="110" w:type="dxa"/>
            </w:tcMar>
            <w:vAlign w:val="center"/>
          </w:tcPr>
          <w:p>
            <w:pPr>
              <w:spacing w:after="0" w:line="240" w:lineRule="auto"/>
            </w:pPr>
            <w:r>
              <w:rPr>
                <w:sz w:val="17"/>
              </w:rPr>
              <w:t>variants</w:t>
            </w:r>
          </w:p>
        </w:tc>
        <w:tc>
          <w:tcPr>
            <w:tcW w:type="dxa" w:w="3311"/>
            <w:tcMar>
              <w:top w:w="90" w:type="dxa"/>
              <w:start w:w="110" w:type="dxa"/>
              <w:bottom w:w="90" w:type="dxa"/>
              <w:end w:w="110" w:type="dxa"/>
            </w:tcMar>
            <w:vAlign w:val="center"/>
          </w:tcPr>
          <w:p>
            <w:pPr>
              <w:spacing w:after="0" w:line="240" w:lineRule="auto"/>
            </w:pPr>
            <w:r>
              <w:rPr>
                <w:sz w:val="17"/>
              </w:rPr>
              <w:t>First appearance below driver</w:t>
            </w:r>
          </w:p>
        </w:tc>
        <w:tc>
          <w:tcPr>
            <w:tcW w:type="dxa" w:w="2880"/>
            <w:tcMar>
              <w:top w:w="90" w:type="dxa"/>
              <w:start w:w="110" w:type="dxa"/>
              <w:bottom w:w="90" w:type="dxa"/>
              <w:end w:w="110" w:type="dxa"/>
            </w:tcMar>
            <w:vAlign w:val="center"/>
          </w:tcPr>
          <w:p>
            <w:pPr>
              <w:spacing w:after="0" w:line="240" w:lineRule="auto"/>
            </w:pPr>
            <w:r>
              <w:rPr>
                <w:sz w:val="17"/>
              </w:rPr>
              <w:t>No duplicate variant strings</w:t>
            </w:r>
          </w:p>
        </w:tc>
        <w:tc>
          <w:tcPr>
            <w:tcW w:type="dxa" w:w="2448"/>
            <w:tcMar>
              <w:top w:w="90" w:type="dxa"/>
              <w:start w:w="110" w:type="dxa"/>
              <w:bottom w:w="90" w:type="dxa"/>
              <w:end w:w="110" w:type="dxa"/>
            </w:tcMar>
            <w:vAlign w:val="center"/>
          </w:tcPr>
          <w:p>
            <w:pPr>
              <w:spacing w:after="0" w:line="240" w:lineRule="auto"/>
            </w:pPr>
            <w:r>
              <w:rPr>
                <w:sz w:val="17"/>
              </w:rPr>
              <w:t>Appended on first discovery</w:t>
            </w:r>
          </w:p>
        </w:tc>
      </w:tr>
      <w:tr>
        <w:tc>
          <w:tcPr>
            <w:tcW w:type="dxa" w:w="2304"/>
            <w:tcMar>
              <w:top w:w="90" w:type="dxa"/>
              <w:start w:w="110" w:type="dxa"/>
              <w:bottom w:w="90" w:type="dxa"/>
              <w:end w:w="110" w:type="dxa"/>
            </w:tcMar>
            <w:vAlign w:val="center"/>
          </w:tcPr>
          <w:p>
            <w:pPr>
              <w:spacing w:after="0" w:line="240" w:lineRule="auto"/>
            </w:pPr>
            <w:r>
              <w:rPr>
                <w:sz w:val="17"/>
              </w:rPr>
              <w:t>grouped keyed rows</w:t>
            </w:r>
          </w:p>
        </w:tc>
        <w:tc>
          <w:tcPr>
            <w:tcW w:type="dxa" w:w="3311"/>
            <w:tcMar>
              <w:top w:w="90" w:type="dxa"/>
              <w:start w:w="110" w:type="dxa"/>
              <w:bottom w:w="90" w:type="dxa"/>
              <w:end w:w="110" w:type="dxa"/>
            </w:tcMar>
            <w:vAlign w:val="center"/>
          </w:tcPr>
          <w:p>
            <w:pPr>
              <w:spacing w:after="0" w:line="240" w:lineRule="auto"/>
            </w:pPr>
            <w:r>
              <w:rPr>
                <w:sz w:val="17"/>
              </w:rPr>
              <w:t>First key appearance and source input order</w:t>
            </w:r>
          </w:p>
        </w:tc>
        <w:tc>
          <w:tcPr>
            <w:tcW w:type="dxa" w:w="2880"/>
            <w:tcMar>
              <w:top w:w="90" w:type="dxa"/>
              <w:start w:w="110" w:type="dxa"/>
              <w:bottom w:w="90" w:type="dxa"/>
              <w:end w:w="110" w:type="dxa"/>
            </w:tcMar>
            <w:vAlign w:val="center"/>
          </w:tcPr>
          <w:p>
            <w:pPr>
              <w:spacing w:after="0" w:line="240" w:lineRule="auto"/>
            </w:pPr>
            <w:r>
              <w:rPr>
                <w:sz w:val="17"/>
              </w:rPr>
              <w:t>Same key reuses list</w:t>
            </w:r>
          </w:p>
        </w:tc>
        <w:tc>
          <w:tcPr>
            <w:tcW w:type="dxa" w:w="2448"/>
            <w:tcMar>
              <w:top w:w="90" w:type="dxa"/>
              <w:start w:w="110" w:type="dxa"/>
              <w:bottom w:w="90" w:type="dxa"/>
              <w:end w:w="110" w:type="dxa"/>
            </w:tcMar>
            <w:vAlign w:val="center"/>
          </w:tcPr>
          <w:p>
            <w:pPr>
              <w:spacing w:after="0" w:line="240" w:lineRule="auto"/>
            </w:pPr>
            <w:r>
              <w:rPr>
                <w:sz w:val="17"/>
              </w:rPr>
              <w:t>setdefault append</w:t>
            </w:r>
          </w:p>
        </w:tc>
      </w:tr>
      <w:tr>
        <w:tc>
          <w:tcPr>
            <w:tcW w:type="dxa" w:w="2304"/>
            <w:tcMar>
              <w:top w:w="90" w:type="dxa"/>
              <w:start w:w="110" w:type="dxa"/>
              <w:bottom w:w="90" w:type="dxa"/>
              <w:end w:w="110" w:type="dxa"/>
            </w:tcMar>
            <w:vAlign w:val="center"/>
          </w:tcPr>
          <w:p>
            <w:pPr>
              <w:spacing w:after="0" w:line="240" w:lineRule="auto"/>
            </w:pPr>
            <w:r>
              <w:rPr>
                <w:sz w:val="17"/>
              </w:rPr>
              <w:t>marker groups</w:t>
            </w:r>
          </w:p>
        </w:tc>
        <w:tc>
          <w:tcPr>
            <w:tcW w:type="dxa" w:w="3311"/>
            <w:tcMar>
              <w:top w:w="90" w:type="dxa"/>
              <w:start w:w="110" w:type="dxa"/>
              <w:bottom w:w="90" w:type="dxa"/>
              <w:end w:w="110" w:type="dxa"/>
            </w:tcMar>
            <w:vAlign w:val="center"/>
          </w:tcPr>
          <w:p>
            <w:pPr>
              <w:spacing w:after="0" w:line="240" w:lineRule="auto"/>
            </w:pPr>
            <w:r>
              <w:rPr>
                <w:sz w:val="17"/>
              </w:rPr>
              <w:t>Input order</w:t>
            </w:r>
          </w:p>
        </w:tc>
        <w:tc>
          <w:tcPr>
            <w:tcW w:type="dxa" w:w="2880"/>
            <w:tcMar>
              <w:top w:w="90" w:type="dxa"/>
              <w:start w:w="110" w:type="dxa"/>
              <w:bottom w:w="90" w:type="dxa"/>
              <w:end w:w="110" w:type="dxa"/>
            </w:tcMar>
            <w:vAlign w:val="center"/>
          </w:tcPr>
          <w:p>
            <w:pPr>
              <w:spacing w:after="0" w:line="240" w:lineRule="auto"/>
            </w:pPr>
            <w:r>
              <w:rPr>
                <w:sz w:val="17"/>
              </w:rPr>
              <w:t>Synthetic ordinal key per completed group</w:t>
            </w:r>
          </w:p>
        </w:tc>
        <w:tc>
          <w:tcPr>
            <w:tcW w:type="dxa" w:w="2448"/>
            <w:tcMar>
              <w:top w:w="90" w:type="dxa"/>
              <w:start w:w="110" w:type="dxa"/>
              <w:bottom w:w="90" w:type="dxa"/>
              <w:end w:w="110" w:type="dxa"/>
            </w:tcMar>
            <w:vAlign w:val="center"/>
          </w:tcPr>
          <w:p>
            <w:pPr>
              <w:spacing w:after="0" w:line="240" w:lineRule="auto"/>
            </w:pPr>
            <w:r>
              <w:rPr>
                <w:sz w:val="17"/>
              </w:rPr>
              <w:t>state-machine append</w:t>
            </w:r>
          </w:p>
        </w:tc>
      </w:tr>
      <w:tr>
        <w:tc>
          <w:tcPr>
            <w:tcW w:type="dxa" w:w="2304"/>
            <w:tcMar>
              <w:top w:w="90" w:type="dxa"/>
              <w:start w:w="110" w:type="dxa"/>
              <w:bottom w:w="90" w:type="dxa"/>
              <w:end w:w="110" w:type="dxa"/>
            </w:tcMar>
            <w:vAlign w:val="center"/>
          </w:tcPr>
          <w:p>
            <w:pPr>
              <w:spacing w:after="0" w:line="240" w:lineRule="auto"/>
            </w:pPr>
            <w:r>
              <w:rPr>
                <w:sz w:val="17"/>
              </w:rPr>
              <w:t>records</w:t>
            </w:r>
          </w:p>
        </w:tc>
        <w:tc>
          <w:tcPr>
            <w:tcW w:type="dxa" w:w="3311"/>
            <w:tcMar>
              <w:top w:w="90" w:type="dxa"/>
              <w:start w:w="110" w:type="dxa"/>
              <w:bottom w:w="90" w:type="dxa"/>
              <w:end w:w="110" w:type="dxa"/>
            </w:tcMar>
            <w:vAlign w:val="center"/>
          </w:tcPr>
          <w:p>
            <w:pPr>
              <w:spacing w:after="0" w:line="240" w:lineRule="auto"/>
            </w:pPr>
            <w:r>
              <w:rPr>
                <w:sz w:val="17"/>
              </w:rPr>
              <w:t>Explicit block order</w:t>
            </w:r>
          </w:p>
        </w:tc>
        <w:tc>
          <w:tcPr>
            <w:tcW w:type="dxa" w:w="2880"/>
            <w:tcMar>
              <w:top w:w="90" w:type="dxa"/>
              <w:start w:w="110" w:type="dxa"/>
              <w:bottom w:w="90" w:type="dxa"/>
              <w:end w:w="110" w:type="dxa"/>
            </w:tcMar>
            <w:vAlign w:val="center"/>
          </w:tcPr>
          <w:p>
            <w:pPr>
              <w:spacing w:after="0" w:line="240" w:lineRule="auto"/>
            </w:pPr>
            <w:r>
              <w:rPr>
                <w:sz w:val="17"/>
              </w:rPr>
              <w:t>Duplicate semantic facts allowed when identities differ</w:t>
            </w:r>
          </w:p>
        </w:tc>
        <w:tc>
          <w:tcPr>
            <w:tcW w:type="dxa" w:w="2448"/>
            <w:tcMar>
              <w:top w:w="90" w:type="dxa"/>
              <w:start w:w="110" w:type="dxa"/>
              <w:bottom w:w="90" w:type="dxa"/>
              <w:end w:w="110" w:type="dxa"/>
            </w:tcMar>
            <w:vAlign w:val="center"/>
          </w:tcPr>
          <w:p>
            <w:pPr>
              <w:spacing w:after="0" w:line="240" w:lineRule="auto"/>
            </w:pPr>
            <w:r>
              <w:rPr>
                <w:sz w:val="17"/>
              </w:rPr>
              <w:t>append</w:t>
            </w:r>
          </w:p>
        </w:tc>
      </w:tr>
      <w:tr>
        <w:tc>
          <w:tcPr>
            <w:tcW w:type="dxa" w:w="2304"/>
            <w:tcMar>
              <w:top w:w="90" w:type="dxa"/>
              <w:start w:w="110" w:type="dxa"/>
              <w:bottom w:w="90" w:type="dxa"/>
              <w:end w:w="110" w:type="dxa"/>
            </w:tcMar>
            <w:vAlign w:val="center"/>
          </w:tcPr>
          <w:p>
            <w:pPr>
              <w:spacing w:after="0" w:line="240" w:lineRule="auto"/>
            </w:pPr>
            <w:r>
              <w:rPr>
                <w:sz w:val="17"/>
              </w:rPr>
              <w:t>output_records</w:t>
            </w:r>
          </w:p>
        </w:tc>
        <w:tc>
          <w:tcPr>
            <w:tcW w:type="dxa" w:w="3311"/>
            <w:tcMar>
              <w:top w:w="90" w:type="dxa"/>
              <w:start w:w="110" w:type="dxa"/>
              <w:bottom w:w="90" w:type="dxa"/>
              <w:end w:w="110" w:type="dxa"/>
            </w:tcMar>
            <w:vAlign w:val="center"/>
          </w:tcPr>
          <w:p>
            <w:pPr>
              <w:spacing w:after="0" w:line="240" w:lineRule="auto"/>
            </w:pPr>
            <w:r>
              <w:rPr>
                <w:sz w:val="17"/>
              </w:rPr>
              <w:t>Built from sorted details</w:t>
            </w:r>
          </w:p>
        </w:tc>
        <w:tc>
          <w:tcPr>
            <w:tcW w:type="dxa" w:w="2880"/>
            <w:tcMar>
              <w:top w:w="90" w:type="dxa"/>
              <w:start w:w="110" w:type="dxa"/>
              <w:bottom w:w="90" w:type="dxa"/>
              <w:end w:w="110" w:type="dxa"/>
            </w:tcMar>
            <w:vAlign w:val="center"/>
          </w:tcPr>
          <w:p>
            <w:pPr>
              <w:spacing w:after="0" w:line="240" w:lineRule="auto"/>
            </w:pPr>
            <w:r>
              <w:rPr>
                <w:sz w:val="17"/>
              </w:rPr>
              <w:t>one per details key</w:t>
            </w:r>
          </w:p>
        </w:tc>
        <w:tc>
          <w:tcPr>
            <w:tcW w:type="dxa" w:w="2448"/>
            <w:tcMar>
              <w:top w:w="90" w:type="dxa"/>
              <w:start w:w="110" w:type="dxa"/>
              <w:bottom w:w="90" w:type="dxa"/>
              <w:end w:w="110" w:type="dxa"/>
            </w:tcMar>
            <w:vAlign w:val="center"/>
          </w:tcPr>
          <w:p>
            <w:pPr>
              <w:spacing w:after="0" w:line="240" w:lineRule="auto"/>
            </w:pPr>
            <w:r>
              <w:rPr>
                <w:sz w:val="17"/>
              </w:rPr>
              <w:t>append</w:t>
            </w:r>
          </w:p>
        </w:tc>
      </w:tr>
    </w:tbl>
    <w:p>
      <w:pPr>
        <w:spacing w:after="0"/>
      </w:pPr>
    </w:p>
    <w:p>
      <w:pPr>
        <w:pStyle w:val="10"/>
      </w:pPr>
      <w:r>
        <w:t>11 Variable and State Specification</w:t>
      </w:r>
    </w:p>
    <w:p>
      <w:pPr>
        <w:keepNext/>
      </w:pPr>
      <w:r>
        <w:t>Table 9 summarizes flat csv runtime state. The entries provide the implementation evidence used by the surrounding specification text.</w:t>
      </w:r>
    </w:p>
    <w:p>
      <w:pPr>
        <w:pStyle w:val="af2"/>
        <w:keepNext/>
        <w:jc w:val="center"/>
      </w:pPr>
      <w:r>
        <w:t>Table 9 — Flat CSV runtime state</w:t>
      </w:r>
    </w:p>
    <w:tbl>
      <w:tblPr>
        <w:tblStyle w:val="af7"/>
        <w:tblW w:type="dxa" w:w="10944"/>
        <w:jc w:val="center"/>
        <w:tblLayout w:type="fixed"/>
        <w:tblLook w:firstColumn="1" w:firstRow="1" w:lastColumn="0" w:lastRow="0" w:noHBand="0" w:noVBand="1" w:val="04A0"/>
      </w:tblPr>
      <w:tblGrid>
        <w:gridCol w:w="2160"/>
        <w:gridCol w:w="1944"/>
        <w:gridCol w:w="3744"/>
        <w:gridCol w:w="3096"/>
      </w:tblGrid>
      <w:tr>
        <w:trPr>
          <w:tblHeader w:val="true"/>
        </w:trPr>
        <w:tc>
          <w:tcPr>
            <w:tcW w:type="dxa" w:w="2160"/>
            <w:shd w:fill="F2F2F2"/>
            <w:tcMar>
              <w:top w:w="90" w:type="dxa"/>
              <w:start w:w="110" w:type="dxa"/>
              <w:bottom w:w="90" w:type="dxa"/>
              <w:end w:w="110" w:type="dxa"/>
            </w:tcMar>
            <w:vAlign w:val="center"/>
          </w:tcPr>
          <w:p>
            <w:r>
              <w:t>State</w:t>
            </w:r>
          </w:p>
        </w:tc>
        <w:tc>
          <w:tcPr>
            <w:tcW w:type="dxa" w:w="1944"/>
            <w:shd w:fill="F2F2F2"/>
            <w:tcMar>
              <w:top w:w="90" w:type="dxa"/>
              <w:start w:w="110" w:type="dxa"/>
              <w:bottom w:w="90" w:type="dxa"/>
              <w:end w:w="110" w:type="dxa"/>
            </w:tcMar>
            <w:vAlign w:val="center"/>
          </w:tcPr>
          <w:p>
            <w:r>
              <w:t>Initial value</w:t>
            </w:r>
          </w:p>
        </w:tc>
        <w:tc>
          <w:tcPr>
            <w:tcW w:type="dxa" w:w="3744"/>
            <w:shd w:fill="F2F2F2"/>
            <w:tcMar>
              <w:top w:w="90" w:type="dxa"/>
              <w:start w:w="110" w:type="dxa"/>
              <w:bottom w:w="90" w:type="dxa"/>
              <w:end w:w="110" w:type="dxa"/>
            </w:tcMar>
            <w:vAlign w:val="center"/>
          </w:tcPr>
          <w:p>
            <w:r>
              <w:t>Transitions</w:t>
            </w:r>
          </w:p>
        </w:tc>
        <w:tc>
          <w:tcPr>
            <w:tcW w:type="dxa" w:w="3096"/>
            <w:shd w:fill="F2F2F2"/>
            <w:tcMar>
              <w:top w:w="90" w:type="dxa"/>
              <w:start w:w="110" w:type="dxa"/>
              <w:bottom w:w="90" w:type="dxa"/>
              <w:end w:w="110" w:type="dxa"/>
            </w:tcMar>
            <w:vAlign w:val="center"/>
          </w:tcPr>
          <w:p>
            <w:r>
              <w:t>Failure condition</w:t>
            </w:r>
          </w:p>
        </w:tc>
      </w:tr>
      <w:tr>
        <w:tc>
          <w:tcPr>
            <w:tcW w:type="dxa" w:w="2160"/>
          </w:tcPr>
          <w:p>
            <w:r>
              <w:t>marker group</w:t>
            </w:r>
          </w:p>
        </w:tc>
        <w:tc>
          <w:tcPr>
            <w:tcW w:type="dxa" w:w="1944"/>
          </w:tcPr>
          <w:p>
            <w:r>
              <w:t>None</w:t>
            </w:r>
          </w:p>
        </w:tc>
        <w:tc>
          <w:tcPr>
            <w:tcW w:type="dxa" w:w="3744"/>
          </w:tcPr>
          <w:p>
            <w:r>
              <w:t>start opens; continue appends; end emits</w:t>
            </w:r>
          </w:p>
        </w:tc>
        <w:tc>
          <w:tcPr>
            <w:tcW w:type="dxa" w:w="3096"/>
          </w:tcPr>
          <w:p>
            <w:r>
              <w:t>nested, orphan, unknown or unclosed marker</w:t>
            </w:r>
          </w:p>
        </w:tc>
      </w:tr>
      <w:tr>
        <w:tc>
          <w:tcPr>
            <w:tcW w:type="dxa" w:w="2160"/>
          </w:tcPr>
          <w:p>
            <w:r>
              <w:t>width</w:t>
            </w:r>
          </w:p>
        </w:tc>
        <w:tc>
          <w:tcPr>
            <w:tcW w:type="dxa" w:w="1944"/>
          </w:tcPr>
          <w:p>
            <w:r>
              <w:t>profile-width or definition maximum</w:t>
            </w:r>
          </w:p>
        </w:tc>
        <w:tc>
          <w:tcPr>
            <w:tcW w:type="dxa" w:w="3744"/>
          </w:tcPr>
          <w:p>
            <w:r>
              <w:t>constant after validation</w:t>
            </w:r>
          </w:p>
        </w:tc>
        <w:tc>
          <w:tcPr>
            <w:tcW w:type="dxa" w:w="3096"/>
          </w:tcPr>
          <w:p>
            <w:r>
              <w:t>non-positive, below definition, or row length mismatch</w:t>
            </w:r>
          </w:p>
        </w:tc>
      </w:tr>
      <w:tr>
        <w:tc>
          <w:tcPr>
            <w:tcW w:type="dxa" w:w="2160"/>
          </w:tcPr>
          <w:p>
            <w:r>
              <w:t>selected header source</w:t>
            </w:r>
          </w:p>
        </w:tc>
        <w:tc>
          <w:tcPr>
            <w:tcW w:type="dxa" w:w="1944"/>
          </w:tcPr>
          <w:p>
            <w:r>
              <w:t>first group row copy</w:t>
            </w:r>
          </w:p>
        </w:tc>
        <w:tc>
          <w:tcPr>
            <w:tcW w:type="dxa" w:w="3744"/>
          </w:tcPr>
          <w:p>
            <w:r>
              <w:t>stable non-empty header value selected</w:t>
            </w:r>
          </w:p>
        </w:tc>
        <w:tc>
          <w:tcPr>
            <w:tcW w:type="dxa" w:w="3096"/>
          </w:tcPr>
          <w:p>
            <w:r>
              <w:t>more than one distinct non-empty value</w:t>
            </w:r>
          </w:p>
        </w:tc>
      </w:tr>
      <w:tr>
        <w:tc>
          <w:tcPr>
            <w:tcW w:type="dxa" w:w="2160"/>
          </w:tcPr>
          <w:p>
            <w:r>
              <w:t>suppressed Class paths</w:t>
            </w:r>
          </w:p>
        </w:tc>
        <w:tc>
          <w:tcPr>
            <w:tcW w:type="dxa" w:w="1944"/>
          </w:tcPr>
          <w:p>
            <w:r>
              <w:t>empty</w:t>
            </w:r>
          </w:p>
        </w:tc>
        <w:tc>
          <w:tcPr>
            <w:tcW w:type="dxa" w:w="3744"/>
          </w:tcPr>
          <w:p>
            <w:r>
              <w:t>optional empty physical subtrees added</w:t>
            </w:r>
          </w:p>
        </w:tc>
        <w:tc>
          <w:tcPr>
            <w:tcW w:type="dxa" w:w="3096"/>
          </w:tcPr>
          <w:p>
            <w:r>
              <w:t>no failure; subtree omitted</w:t>
            </w:r>
          </w:p>
        </w:tc>
      </w:tr>
      <w:tr>
        <w:tc>
          <w:tcPr>
            <w:tcW w:type="dxa" w:w="2160"/>
          </w:tcPr>
          <w:p>
            <w:r>
              <w:t>target cell</w:t>
            </w:r>
          </w:p>
        </w:tc>
        <w:tc>
          <w:tcPr>
            <w:tcW w:type="dxa" w:w="1944"/>
          </w:tcPr>
          <w:p>
            <w:r>
              <w:t>empty</w:t>
            </w:r>
          </w:p>
        </w:tc>
        <w:tc>
          <w:tcPr>
            <w:tcW w:type="dxa" w:w="3744"/>
          </w:tcPr>
          <w:p>
            <w:r>
              <w:t>header then variant assignment</w:t>
            </w:r>
          </w:p>
        </w:tc>
        <w:tc>
          <w:tcPr>
            <w:tcW w:type="dxa" w:w="3096"/>
          </w:tcPr>
          <w:p>
            <w:r>
              <w:t>no failure on conflict; count then overwrite</w:t>
            </w:r>
          </w:p>
        </w:tc>
      </w:tr>
    </w:tbl>
    <w:p>
      <w:pPr>
        <w:spacing w:after="0"/>
      </w:pPr>
    </w:p>
    <w:p>
      <w:pPr>
        <w:pStyle w:val="10"/>
      </w:pPr>
      <w:r>
        <w:t>12 Function Specification</w:t>
      </w:r>
    </w:p>
    <w:p>
      <w:pPr>
        <w:keepNext/>
      </w:pPr>
      <w:r>
        <w:t>Table 10 summarizes flat csv function contracts. The entries provide the implementation evidence used by the surrounding specification text.</w:t>
      </w:r>
    </w:p>
    <w:p>
      <w:pPr>
        <w:pStyle w:val="af2"/>
        <w:keepNext/>
        <w:jc w:val="center"/>
      </w:pPr>
      <w:r>
        <w:t>Table 10 — Flat CSV function contracts</w:t>
      </w:r>
    </w:p>
    <w:tbl>
      <w:tblPr>
        <w:tblStyle w:val="af7"/>
        <w:tblW w:type="dxa" w:w="10944"/>
        <w:jc w:val="center"/>
        <w:tblLayout w:type="fixed"/>
        <w:tblLook w:firstColumn="1" w:firstRow="1" w:lastColumn="0" w:lastRow="0" w:noHBand="0" w:noVBand="1" w:val="04A0"/>
      </w:tblPr>
      <w:tblGrid>
        <w:gridCol w:w="2448"/>
        <w:gridCol w:w="3456"/>
        <w:gridCol w:w="5040"/>
      </w:tblGrid>
      <w:tr>
        <w:trPr>
          <w:tblHeader w:val="true"/>
        </w:trPr>
        <w:tc>
          <w:tcPr>
            <w:tcW w:type="dxa" w:w="2448"/>
            <w:shd w:fill="F2F2F2"/>
            <w:tcMar>
              <w:top w:w="90" w:type="dxa"/>
              <w:start w:w="110" w:type="dxa"/>
              <w:bottom w:w="90" w:type="dxa"/>
              <w:end w:w="110" w:type="dxa"/>
            </w:tcMar>
            <w:vAlign w:val="center"/>
          </w:tcPr>
          <w:p>
            <w:r>
              <w:t>Function</w:t>
            </w:r>
          </w:p>
        </w:tc>
        <w:tc>
          <w:tcPr>
            <w:tcW w:type="dxa" w:w="3456"/>
            <w:shd w:fill="F2F2F2"/>
            <w:tcMar>
              <w:top w:w="90" w:type="dxa"/>
              <w:start w:w="110" w:type="dxa"/>
              <w:bottom w:w="90" w:type="dxa"/>
              <w:end w:w="110" w:type="dxa"/>
            </w:tcMar>
            <w:vAlign w:val="center"/>
          </w:tcPr>
          <w:p>
            <w:r>
              <w:t>Input -&gt; result</w:t>
            </w:r>
          </w:p>
        </w:tc>
        <w:tc>
          <w:tcPr>
            <w:tcW w:type="dxa" w:w="5040"/>
            <w:shd w:fill="F2F2F2"/>
            <w:tcMar>
              <w:top w:w="90" w:type="dxa"/>
              <w:start w:w="110" w:type="dxa"/>
              <w:bottom w:w="90" w:type="dxa"/>
              <w:end w:w="110" w:type="dxa"/>
            </w:tcMar>
            <w:vAlign w:val="center"/>
          </w:tcPr>
          <w:p>
            <w:r>
              <w:t>Decisions and side effects</w:t>
            </w:r>
          </w:p>
        </w:tc>
      </w:tr>
      <w:tr>
        <w:tc>
          <w:tcPr>
            <w:tcW w:type="dxa" w:w="2448"/>
          </w:tcPr>
          <w:p>
            <w:r>
              <w:t>load_binding</w:t>
            </w:r>
          </w:p>
        </w:tc>
        <w:tc>
          <w:tcPr>
            <w:tcW w:type="dxa" w:w="3456"/>
          </w:tcPr>
          <w:p>
            <w:r>
              <w:t>Path/encoding -&gt; list[BindingRow]</w:t>
            </w:r>
          </w:p>
        </w:tc>
        <w:tc>
          <w:tcPr>
            <w:tcW w:type="dxa" w:w="5040"/>
          </w:tcPr>
          <w:p>
            <w:r>
              <w:t>Requires exact 17-column header and exactly 17 fields per row</w:t>
            </w:r>
          </w:p>
        </w:tc>
      </w:tr>
      <w:tr>
        <w:tc>
          <w:tcPr>
            <w:tcW w:type="dxa" w:w="2448"/>
          </w:tcPr>
          <w:p>
            <w:r>
              <w:t>load_hmd</w:t>
            </w:r>
          </w:p>
        </w:tc>
        <w:tc>
          <w:tcPr>
            <w:tcW w:type="dxa" w:w="3456"/>
          </w:tcPr>
          <w:p>
            <w:r>
              <w:t>Path/encoding -&gt; path/sequence map</w:t>
            </w:r>
          </w:p>
        </w:tc>
        <w:tc>
          <w:tcPr>
            <w:tcW w:type="dxa" w:w="5040"/>
          </w:tcPr>
          <w:p>
            <w:r>
              <w:t>Requires unique semantic_path and integer sequence</w:t>
            </w:r>
          </w:p>
        </w:tc>
      </w:tr>
      <w:tr>
        <w:tc>
          <w:tcPr>
            <w:tcW w:type="dxa" w:w="2448"/>
          </w:tcPr>
          <w:p>
            <w:r>
              <w:t>validate_definition</w:t>
            </w:r>
          </w:p>
        </w:tc>
        <w:tc>
          <w:tcPr>
            <w:tcW w:type="dxa" w:w="3456"/>
          </w:tcPr>
          <w:p>
            <w:r>
              <w:t>Binding rows + HMD -&gt; Definition</w:t>
            </w:r>
          </w:p>
        </w:tc>
        <w:tc>
          <w:tcPr>
            <w:tcW w:type="dxa" w:w="5040"/>
          </w:tcPr>
          <w:p>
            <w:r>
              <w:t>Validates columns, paths, group, driver, variants, limits and transformations</w:t>
            </w:r>
          </w:p>
        </w:tc>
      </w:tr>
      <w:tr>
        <w:tc>
          <w:tcPr>
            <w:tcW w:type="dxa" w:w="2448"/>
          </w:tcPr>
          <w:p>
            <w:r>
              <w:t>group_source_rows</w:t>
            </w:r>
          </w:p>
        </w:tc>
        <w:tc>
          <w:tcPr>
            <w:tcW w:type="dxa" w:w="3456"/>
          </w:tcPr>
          <w:p>
            <w:r>
              <w:t>source rows + GroupSpec -&gt; groups</w:t>
            </w:r>
          </w:p>
        </w:tc>
        <w:tc>
          <w:tcPr>
            <w:tcW w:type="dxa" w:w="5040"/>
          </w:tcPr>
          <w:p>
            <w:r>
              <w:t>Keyed grouping or marker state machine</w:t>
            </w:r>
          </w:p>
        </w:tc>
      </w:tr>
      <w:tr>
        <w:tc>
          <w:tcPr>
            <w:tcW w:type="dxa" w:w="2448"/>
          </w:tcPr>
          <w:p>
            <w:r>
              <w:t>_header_source</w:t>
            </w:r>
          </w:p>
        </w:tc>
        <w:tc>
          <w:tcPr>
            <w:tcW w:type="dxa" w:w="3456"/>
          </w:tcPr>
          <w:p>
            <w:r>
              <w:t>one group + header rows -&gt; physical projection</w:t>
            </w:r>
          </w:p>
        </w:tc>
        <w:tc>
          <w:tcPr>
            <w:tcW w:type="dxa" w:w="5040"/>
          </w:tcPr>
          <w:p>
            <w:r>
              <w:t>Rejects changing non-empty shared header values</w:t>
            </w:r>
          </w:p>
        </w:tc>
      </w:tr>
      <w:tr>
        <w:tc>
          <w:tcPr>
            <w:tcW w:type="dxa" w:w="2448"/>
          </w:tcPr>
          <w:p>
            <w:r>
              <w:t>_active_rows</w:t>
            </w:r>
          </w:p>
        </w:tc>
        <w:tc>
          <w:tcPr>
            <w:tcW w:type="dxa" w:w="3456"/>
          </w:tcPr>
          <w:p>
            <w:r>
              <w:t>candidate rows + source -&gt; active rows</w:t>
            </w:r>
          </w:p>
        </w:tc>
        <w:tc>
          <w:tcPr>
            <w:tcW w:type="dxa" w:w="5040"/>
          </w:tcPr>
          <w:p>
            <w:r>
              <w:t>Suppresses optional empty Class subtrees</w:t>
            </w:r>
          </w:p>
        </w:tc>
      </w:tr>
      <w:tr>
        <w:tc>
          <w:tcPr>
            <w:tcW w:type="dxa" w:w="2448"/>
          </w:tcPr>
          <w:p>
            <w:r>
              <w:t>convert_to_structured</w:t>
            </w:r>
          </w:p>
        </w:tc>
        <w:tc>
          <w:tcPr>
            <w:tcW w:type="dxa" w:w="3456"/>
          </w:tcPr>
          <w:p>
            <w:r>
              <w:t>ConversionOptions -&gt; ConversionSummary</w:t>
            </w:r>
          </w:p>
        </w:tc>
        <w:tc>
          <w:tcPr>
            <w:tcW w:type="dxa" w:w="5040"/>
          </w:tcPr>
          <w:p>
            <w:r>
              <w:t>Builds groups and Structured CSV records, then writes output</w:t>
            </w:r>
          </w:p>
        </w:tc>
      </w:tr>
      <w:tr>
        <w:tc>
          <w:tcPr>
            <w:tcW w:type="dxa" w:w="2448"/>
          </w:tcPr>
          <w:p>
            <w:r>
              <w:t>_validated_structured_rows</w:t>
            </w:r>
          </w:p>
        </w:tc>
        <w:tc>
          <w:tcPr>
            <w:tcW w:type="dxa" w:w="3456"/>
          </w:tcPr>
          <w:p>
            <w:r>
              <w:t>rows + Definition -&gt; header/detail indexes</w:t>
            </w:r>
          </w:p>
        </w:tc>
        <w:tc>
          <w:tcPr>
            <w:tcW w:type="dxa" w:w="5040"/>
          </w:tcPr>
          <w:p>
            <w:r>
              <w:t>Validates paths, semantic identity, sequence, occurrence and source row</w:t>
            </w:r>
          </w:p>
        </w:tc>
      </w:tr>
      <w:tr>
        <w:tc>
          <w:tcPr>
            <w:tcW w:type="dxa" w:w="2448"/>
          </w:tcPr>
          <w:p>
            <w:r>
              <w:t>convert_to_flat</w:t>
            </w:r>
          </w:p>
        </w:tc>
        <w:tc>
          <w:tcPr>
            <w:tcW w:type="dxa" w:w="3456"/>
          </w:tcPr>
          <w:p>
            <w:r>
              <w:t>ConversionOptions -&gt; ConversionSummary</w:t>
            </w:r>
          </w:p>
        </w:tc>
        <w:tc>
          <w:tcPr>
            <w:tcW w:type="dxa" w:w="5040"/>
          </w:tcPr>
          <w:p>
            <w:r>
              <w:t>Reconstructs rows, applies reverse transforms, counts conflicts, regenerates markers</w:t>
            </w:r>
          </w:p>
        </w:tc>
      </w:tr>
      <w:tr>
        <w:tc>
          <w:tcPr>
            <w:tcW w:type="dxa" w:w="2448"/>
          </w:tcPr>
          <w:p>
            <w:r>
              <w:t>write_summary</w:t>
            </w:r>
          </w:p>
        </w:tc>
        <w:tc>
          <w:tcPr>
            <w:tcW w:type="dxa" w:w="3456"/>
          </w:tcPr>
          <w:p>
            <w:r>
              <w:t>Path + ConversionSummary -&gt; None</w:t>
            </w:r>
          </w:p>
        </w:tc>
        <w:tc>
          <w:tcPr>
            <w:tcW w:type="dxa" w:w="5040"/>
          </w:tcPr>
          <w:p>
            <w:r>
              <w:t>Writes sorted value-free JSON</w:t>
            </w:r>
          </w:p>
        </w:tc>
      </w:tr>
      <w:tr>
        <w:tc>
          <w:tcPr>
            <w:tcW w:type="dxa" w:w="2448"/>
          </w:tcPr>
          <w:p>
            <w:r>
              <w:t>parse_args</w:t>
            </w:r>
          </w:p>
        </w:tc>
        <w:tc>
          <w:tcPr>
            <w:tcW w:type="dxa" w:w="3456"/>
          </w:tcPr>
          <w:p>
            <w:r>
              <w:t>argv -&gt; Namespace</w:t>
            </w:r>
          </w:p>
        </w:tc>
        <w:tc>
          <w:tcPr>
            <w:tcW w:type="dxa" w:w="5040"/>
          </w:tcPr>
          <w:p>
            <w:r>
              <w:t>Defines to-structured and to-flat interfaces</w:t>
            </w:r>
          </w:p>
        </w:tc>
      </w:tr>
      <w:tr>
        <w:tc>
          <w:tcPr>
            <w:tcW w:type="dxa" w:w="2448"/>
          </w:tcPr>
          <w:p>
            <w:r>
              <w:t>main</w:t>
            </w:r>
          </w:p>
        </w:tc>
        <w:tc>
          <w:tcPr>
            <w:tcW w:type="dxa" w:w="3456"/>
          </w:tcPr>
          <w:p>
            <w:r>
              <w:t>argv -&gt; int</w:t>
            </w:r>
          </w:p>
        </w:tc>
        <w:tc>
          <w:tcPr>
            <w:tcW w:type="dxa" w:w="5040"/>
          </w:tcPr>
          <w:p>
            <w:r>
              <w:t>Returns 0, classified 2 or internal 3</w:t>
            </w:r>
          </w:p>
        </w:tc>
      </w:tr>
    </w:tbl>
    <w:p>
      <w:pPr>
        <w:spacing w:after="0"/>
      </w:pPr>
    </w:p>
    <w:p>
      <w:pPr>
        <w:pStyle w:val="10"/>
      </w:pPr>
      <w:r>
        <w:t>13 Detailed Processing Flow</w:t>
      </w:r>
    </w:p>
    <w:p>
      <w:pPr>
        <w:keepNext/>
      </w:pPr>
      <w:r/>
      <w:r>
        <w:t>Figure 1 illustrates canonical forward grouping and occurrence decisions. The numbered figure is referenced here as part of the implementation-level processing description.</w:t>
      </w:r>
    </w:p>
    <w:p>
      <w:pPr>
        <w:keepNext/>
        <w:jc w:val="center"/>
      </w:pPr>
      <w:r>
        <w:drawing>
          <wp:inline xmlns:a="http://schemas.openxmlformats.org/drawingml/2006/main" xmlns:pic="http://schemas.openxmlformats.org/drawingml/2006/picture">
            <wp:extent cx="5805714" cy="4760685"/>
            <wp:docPr id="3" name="Picture 3" descr="Figure 3 — Canonical forward grouping and occurrence decisions"/>
            <wp:cNvGraphicFramePr>
              <a:graphicFrameLocks noChangeAspect="1"/>
            </wp:cNvGraphicFramePr>
            <a:graphic>
              <a:graphicData uri="http://schemas.openxmlformats.org/drawingml/2006/picture">
                <pic:pic>
                  <pic:nvPicPr>
                    <pic:cNvPr id="0" name="flat_forward.png"/>
                    <pic:cNvPicPr/>
                  </pic:nvPicPr>
                  <pic:blipFill>
                    <a:blip r:embed="rId29"/>
                    <a:stretch>
                      <a:fillRect/>
                    </a:stretch>
                  </pic:blipFill>
                  <pic:spPr>
                    <a:xfrm>
                      <a:off x="0" y="0"/>
                      <a:ext cx="5805714" cy="4760685"/>
                    </a:xfrm>
                    <a:prstGeom prst="rect"/>
                  </pic:spPr>
                </pic:pic>
              </a:graphicData>
            </a:graphic>
          </wp:inline>
        </w:drawing>
      </w:r>
    </w:p>
    <w:p>
      <w:pPr>
        <w:pStyle w:val="af2"/>
        <w:jc w:val="center"/>
      </w:pPr>
      <w:r/>
      <w:r>
        <w:t>Figure 1 — Canonical forward grouping and occurrence decisions</w:t>
      </w:r>
    </w:p>
    <w:p>
      <w:pPr>
        <w:keepNext/>
      </w:pPr>
      <w:r/>
      <w:r>
        <w:t>Figure 2 illustrates canonical reverse row reconstruction. The numbered figure is referenced here as part of the implementation-level processing description.</w:t>
      </w:r>
    </w:p>
    <w:p>
      <w:pPr>
        <w:keepNext/>
        <w:jc w:val="center"/>
      </w:pPr>
      <w:r>
        <w:drawing>
          <wp:inline xmlns:a="http://schemas.openxmlformats.org/drawingml/2006/main" xmlns:pic="http://schemas.openxmlformats.org/drawingml/2006/picture">
            <wp:extent cx="5805714" cy="5450114"/>
            <wp:docPr id="4" name="Picture 4" descr="Figure 4 — Canonical reverse row reconstruction"/>
            <wp:cNvGraphicFramePr>
              <a:graphicFrameLocks noChangeAspect="1"/>
            </wp:cNvGraphicFramePr>
            <a:graphic>
              <a:graphicData uri="http://schemas.openxmlformats.org/drawingml/2006/picture">
                <pic:pic>
                  <pic:nvPicPr>
                    <pic:cNvPr id="0" name="flat_reverse.png"/>
                    <pic:cNvPicPr/>
                  </pic:nvPicPr>
                  <pic:blipFill>
                    <a:blip r:embed="rId30"/>
                    <a:stretch>
                      <a:fillRect/>
                    </a:stretch>
                  </pic:blipFill>
                  <pic:spPr>
                    <a:xfrm>
                      <a:off x="0" y="0"/>
                      <a:ext cx="5805714" cy="5450114"/>
                    </a:xfrm>
                    <a:prstGeom prst="rect"/>
                  </pic:spPr>
                </pic:pic>
              </a:graphicData>
            </a:graphic>
          </wp:inline>
        </w:drawing>
      </w:r>
    </w:p>
    <w:p>
      <w:pPr>
        <w:pStyle w:val="af2"/>
        <w:jc w:val="center"/>
      </w:pPr>
      <w:r/>
      <w:r>
        <w:t>Figure 2 — Canonical reverse row reconstruction</w:t>
      </w:r>
    </w:p>
    <w:p>
      <w:pPr>
        <w:pStyle w:val="20"/>
      </w:pPr>
      <w:r>
        <w:t>13.1 Forward pseudocode</w:t>
      </w:r>
    </w:p>
    <w:tbl>
      <w:tblPr>
        <w:tblStyle w:val="af7"/>
        <w:tblW w:type="dxa" w:w="9720"/>
        <w:jc w:val="center"/>
        <w:tblLayout w:type="fixed"/>
        <w:tblLook w:firstColumn="1" w:firstRow="1" w:lastColumn="0" w:lastRow="0" w:noHBand="0" w:noVBand="1" w:val="04A0"/>
      </w:tblPr>
      <w:tblGrid>
        <w:gridCol w:w="9720"/>
      </w:tblGrid>
      <w:tr>
        <w:tc>
          <w:tcPr>
            <w:tcW w:type="dxa" w:w="9720"/>
            <w:tcMar>
              <w:top w:w="90" w:type="dxa"/>
              <w:start w:w="110" w:type="dxa"/>
              <w:bottom w:w="90" w:type="dxa"/>
              <w:end w:w="110" w:type="dxa"/>
            </w:tcMar>
            <w:vAlign w:val="center"/>
          </w:tcPr>
          <w:p>
            <w:r>
              <w:t>definition = load_binding + load_hmd + validate_definition</w:t>
              <w:br/>
              <w:t>width = resolve exact profile width</w:t>
              <w:br/>
              <w:t>source_rows = read rows; require every row to match width</w:t>
              <w:br/>
              <w:t>groups = group_source_rows(source_rows, definition.group_spec)</w:t>
              <w:br/>
              <w:t>enforce group and driver max_occurs when declared</w:t>
              <w:br/>
              <w:t>emit ROOT rows</w:t>
              <w:br/>
              <w:t>for entry_key, grouped_rows in groups:</w:t>
              <w:br/>
              <w:t xml:space="preserve">    select stable header source; emit HEADER rows</w:t>
              <w:br/>
              <w:t xml:space="preserve">    for source_index, source in grouped_rows:</w:t>
              <w:br/>
              <w:t xml:space="preserve">        for variant in Binding declaration order:</w:t>
              <w:br/>
              <w:t xml:space="preserve">            apply presence and optional-Class suppression</w:t>
              <w:br/>
              <w:t xml:space="preserve">            emit active rows by (HMD sequence, Binding order)</w:t>
              <w:br/>
              <w:t>write exact STRUCTURED_FIELDS CSV</w:t>
            </w:r>
          </w:p>
        </w:tc>
      </w:tr>
    </w:tbl>
    <w:p>
      <w:pPr>
        <w:spacing w:after="0"/>
      </w:pPr>
    </w:p>
    <w:p>
      <w:pPr>
        <w:pStyle w:val="20"/>
      </w:pPr>
      <w:r>
        <w:t>13.2 Reverse pseudocode</w:t>
      </w:r>
    </w:p>
    <w:tbl>
      <w:tblPr>
        <w:tblStyle w:val="af7"/>
        <w:tblW w:type="dxa" w:w="9720"/>
        <w:jc w:val="center"/>
        <w:tblLayout w:type="fixed"/>
        <w:tblLook w:firstColumn="1" w:firstRow="1" w:lastColumn="0" w:lastRow="0" w:noHBand="0" w:noVBand="1" w:val="04A0"/>
      </w:tblPr>
      <w:tblGrid>
        <w:gridCol w:w="9720"/>
      </w:tblGrid>
      <w:tr>
        <w:tc>
          <w:tcPr>
            <w:tcW w:type="dxa" w:w="9720"/>
            <w:tcMar>
              <w:top w:w="90" w:type="dxa"/>
              <w:start w:w="110" w:type="dxa"/>
              <w:bottom w:w="90" w:type="dxa"/>
              <w:end w:w="110" w:type="dxa"/>
            </w:tcMar>
            <w:vAlign w:val="center"/>
          </w:tcPr>
          <w:p>
            <w:r>
              <w:t>load and validate Binding/HMD</w:t>
              <w:br/>
              <w:t>read exact STRUCTURED_FIELDS CSV</w:t>
              <w:br/>
              <w:t>validate binding_path, semantic_path, sequence, occurrence and source_row</w:t>
              <w:br/>
              <w:t>index HEADER rows by entry_key</w:t>
              <w:br/>
              <w:t>index details by (entry_key, source_row)</w:t>
              <w:br/>
              <w:t>for each detail identity ordered by source_row:</w:t>
              <w:br/>
              <w:t xml:space="preserve">    create an empty profile-width target</w:t>
              <w:br/>
              <w:t xml:space="preserve">    apply header then variants by rank, sequence and binding_path</w:t>
              <w:br/>
              <w:t xml:space="preserve">    reverse-transform and assign each non-empty ColumnN value</w:t>
              <w:br/>
              <w:t xml:space="preserve">    count then overwrite a differing non-empty shared value</w:t>
              <w:br/>
              <w:t>if marker_rows: regenerate controls and blank repeated headers</w:t>
              <w:br/>
              <w:t>write headerless Flat CSV; optionally write value-free summary</w:t>
            </w:r>
          </w:p>
        </w:tc>
      </w:tr>
    </w:tbl>
    <w:p>
      <w:pPr>
        <w:spacing w:after="0"/>
      </w:pPr>
    </w:p>
    <w:p>
      <w:pPr>
        <w:pStyle w:val="20"/>
      </w:pPr>
      <w:r>
        <w:t>13.3 Physical Flat CSV to HTD-D and HTD-CSV</w:t>
      </w:r>
    </w:p>
    <w:p>
      <w:r/>
      <w:r>
        <w:t>HTD-D is the logical Hierarchical Tidy Data held during conversion. The current canonical Flat CSV engine does not instantiate an HTDData tree. BindingRow and GroupSpec objects define how hierarchy is derived, while records: list[dict[str, str]] holds the values that will become HTD-CSV. Unlike XML, the input has no nested nodes; hierarchy must be constructed from group controls, physical row ordinals and selector variants. Figure 3 shows this construction.</w:t>
      </w:r>
    </w:p>
    <w:p>
      <w:pPr>
        <w:keepNext/>
      </w:pPr>
      <w:r/>
      <w:r>
        <w:t>Figure 3 illustrates flat CSV to HTD-D and HTD-CSV construction. The numbered figure is referenced here as part of the implementation-level processing description.</w:t>
      </w:r>
    </w:p>
    <w:p>
      <w:pPr>
        <w:keepNext/>
        <w:jc w:val="center"/>
      </w:pPr>
      <w:r>
        <w:drawing>
          <wp:inline xmlns:a="http://schemas.openxmlformats.org/drawingml/2006/main" xmlns:pic="http://schemas.openxmlformats.org/drawingml/2006/picture">
            <wp:extent cx="5805714" cy="5450114"/>
            <wp:docPr id="5" name="Picture 5" descr="Figure 5 — Flat CSV to HTD-D and HTD-CSV construction"/>
            <wp:cNvGraphicFramePr>
              <a:graphicFrameLocks noChangeAspect="1"/>
            </wp:cNvGraphicFramePr>
            <a:graphic>
              <a:graphicData uri="http://schemas.openxmlformats.org/drawingml/2006/picture">
                <pic:pic>
                  <pic:nvPicPr>
                    <pic:cNvPr id="0" name="flat_htd_forward.png"/>
                    <pic:cNvPicPr/>
                  </pic:nvPicPr>
                  <pic:blipFill>
                    <a:blip r:embed="rId31"/>
                    <a:stretch>
                      <a:fillRect/>
                    </a:stretch>
                  </pic:blipFill>
                  <pic:spPr>
                    <a:xfrm>
                      <a:off x="0" y="0"/>
                      <a:ext cx="5805714" cy="5450114"/>
                    </a:xfrm>
                    <a:prstGeom prst="rect"/>
                  </pic:spPr>
                </pic:pic>
              </a:graphicData>
            </a:graphic>
          </wp:inline>
        </w:drawing>
      </w:r>
    </w:p>
    <w:p>
      <w:pPr>
        <w:pStyle w:val="af2"/>
        <w:jc w:val="center"/>
      </w:pPr>
      <w:r/>
      <w:r>
        <w:t>Figure 3 — Flat CSV to HTD-D and HTD-CSV construction</w:t>
      </w:r>
    </w:p>
    <w:p>
      <w:pPr>
        <w:pStyle w:val="3"/>
      </w:pPr>
      <w:r>
        <w:t>13.3.1 a) How HTD-D is recorded in the program</w:t>
      </w:r>
    </w:p>
    <w:p>
      <w:r/>
      <w:r>
        <w:t>The control side consists of list[BindingRow], one GroupSpec, one source_rows driver, header/detail row subsets, a declaration-ordered variants list and variant_rows. The value side is records. Every record has the exact STRUCTURED_FIELDS keys: entry_key, source_row, occurrence, sequence, level, type, id, name, semantic_path, binding_path and value. entry_key identifies the header group; source_row retains the one-based physical input-row ordinal; occurrence is ROOT, HEADER or a selector-derived variant; semantic_path is selector-neutral for HMD identity; and binding_path retains the selector needed for the physical mapping. These explicit identity fields are the Flat CSV form of the HTD-D hierarchy.</w:t>
      </w:r>
    </w:p>
    <w:tbl>
      <w:tblPr>
        <w:tblStyle w:val="af7"/>
        <w:tblW w:type="dxa" w:w="9720"/>
        <w:jc w:val="center"/>
        <w:tblLayout w:type="fixed"/>
        <w:tblLook w:firstColumn="1" w:firstRow="1" w:lastColumn="0" w:lastRow="0" w:noHBand="0" w:noVBand="1" w:val="04A0"/>
      </w:tblPr>
      <w:tblGrid>
        <w:gridCol w:w="9720"/>
      </w:tblGrid>
      <w:tr>
        <w:tc>
          <w:tcPr>
            <w:tcW w:type="dxa" w:w="9720"/>
            <w:tcMar>
              <w:top w:w="90" w:type="dxa"/>
              <w:start w:w="110" w:type="dxa"/>
              <w:bottom w:w="90" w:type="dxa"/>
              <w:end w:w="110" w:type="dxa"/>
            </w:tcMar>
            <w:vAlign w:val="center"/>
          </w:tcPr>
          <w:p>
            <w:r>
              <w:t>HTD-D control = Definition(rows, GroupSpec, driver, variants, HMD sequence map)</w:t>
              <w:br/>
              <w:t>HTD-D values = Structured CSV record dictionaries plus reverse header/detail indexes</w:t>
              <w:br/>
              <w:t>detail identity = (entry_key, positive source_row, occurrence)</w:t>
              <w:br/>
              <w:t>fact mapping = binding_path -&gt; BindingRow.column; semantic_path -&gt; HMD item</w:t>
            </w:r>
          </w:p>
        </w:tc>
      </w:tr>
    </w:tbl>
    <w:p>
      <w:pPr>
        <w:spacing w:after="0"/>
      </w:pPr>
    </w:p>
    <w:p>
      <w:pPr>
        <w:pStyle w:val="3"/>
      </w:pPr>
      <w:r>
        <w:t>13.3.2 b) Physical Flat CSV read and processing order</w:t>
      </w:r>
    </w:p>
    <w:p>
      <w:r/>
      <w:r>
        <w:t>convert_to_structured performs the following order:</w:t>
      </w:r>
    </w:p>
    <w:p>
      <w:pPr>
        <w:pStyle w:val="aff4"/>
      </w:pPr>
      <w:r/>
      <w:r>
        <w:t>load_binding reads the exact 17-column Binding; load_hmd reads the HMD; validate_definition verifies physical-column uniqueness, HMD resolution and sequence equality, supported transformations, one header group and one source_rows driver.</w:t>
      </w:r>
    </w:p>
    <w:p>
      <w:pPr>
        <w:pStyle w:val="aff4"/>
      </w:pPr>
      <w:r/>
      <w:r>
        <w:t>The profile width is resolved from --profile-width or the highest bound/control ColumnN; a non-positive width or a width smaller than the definition requirement is rejected.</w:t>
      </w:r>
    </w:p>
    <w:p>
      <w:pPr>
        <w:pStyle w:val="aff4"/>
      </w:pPr>
      <w:r/>
      <w:r>
        <w:t>csv.reader reads physical rows in file order. Every row must match the resolved width exactly.</w:t>
      </w:r>
    </w:p>
    <w:p>
      <w:pPr>
        <w:pStyle w:val="aff4"/>
      </w:pPr>
      <w:r>
        <w:t>Binding rows are partitioned into ROOT, HEADER and detail subsets; GroupSpec is parsed; shared rows and selector-derived variants are derived in Binding declaration order.</w:t>
      </w:r>
    </w:p>
    <w:p>
      <w:pPr>
        <w:pStyle w:val="aff4"/>
      </w:pPr>
      <w:r/>
      <w:r>
        <w:t>group_source_rows processes physical rows in source order and produces keyed_rows or marker_rows groups before any detail Structured CSV records are emitted.</w:t>
      </w:r>
    </w:p>
    <w:p>
      <w:pPr>
        <w:pStyle w:val="3"/>
      </w:pPr>
      <w:r>
        <w:t>13.3.3 c) Positioning physical values inside the HTD-D hierarchy</w:t>
      </w:r>
    </w:p>
    <w:p>
      <w:r>
        <w:t>ROOT records use empty entry_key and source_row with occurrence=ROOT. For each group, keyed_rows serializes the configured non-empty key columns as a compact JSON array; marker_rows assigns a deterministic group ordinal after validating the single/start/continue/end state machine. That value becomes entry_key. _header_source selects stable header values across the group's physical rows and HEADER records use the group entry_key with an empty source_row.</w:t>
      </w:r>
    </w:p>
    <w:p>
      <w:r/>
      <w:r>
        <w:t>Each physical row retains its one-based source_index. For every selector-derived variant in Binding declaration order, presence rows may suppress the variant. _active_rows suppresses optional Classes whose physical descendants are all empty. Remaining rows obtain a physical or default value through _value_for, apply the configured forward transformation, enforce required Attribute values, and are emitted with (entry_key, source_index, variant) as the detail identity.</w:t>
      </w:r>
    </w:p>
    <w:p>
      <w:pPr>
        <w:pStyle w:val="3"/>
      </w:pPr>
      <w:r>
        <w:t>13.3.4 d) HTD-D processing order when expanding to HTD-CSV</w:t>
      </w:r>
    </w:p>
    <w:p>
      <w:r/>
      <w:r>
        <w:t>ROOT rows are emitted first, sorted by (HMD sequence, Binding order). Groups follow the first group appearance returned by group_source_rows. Within a group, HEADER rows are sorted by the same pair. Physical source rows retain their group order, variants retain Binding declaration order, and active occurrence rows are sorted by (HMD sequence, Binding order). records is therefore already in final HTD-CSV order and is not re-sorted at publication.</w:t>
      </w:r>
    </w:p>
    <w:p>
      <w:pPr>
        <w:keepNext/>
      </w:pPr>
      <w:r>
        <w:t>Table 11 summarizes flat csv htd-d to htd-csv ordering. The entries provide the implementation evidence used by the surrounding specification text.</w:t>
      </w:r>
    </w:p>
    <w:p>
      <w:pPr>
        <w:pStyle w:val="af2"/>
        <w:keepNext/>
        <w:jc w:val="center"/>
      </w:pPr>
      <w:r>
        <w:t>Table 11 — Flat CSV HTD-D to HTD-CSV ordering</w:t>
      </w:r>
    </w:p>
    <w:tbl>
      <w:tblPr>
        <w:tblStyle w:val="af7"/>
        <w:tblW w:type="dxa" w:w="10368"/>
        <w:jc w:val="center"/>
        <w:tblLayout w:type="fixed"/>
        <w:tblLook w:firstColumn="1" w:firstRow="1" w:lastColumn="0" w:lastRow="0" w:noHBand="0" w:noVBand="1" w:val="04A0"/>
      </w:tblPr>
      <w:tblGrid>
        <w:gridCol w:w="1944"/>
        <w:gridCol w:w="3960"/>
        <w:gridCol w:w="4464"/>
      </w:tblGrid>
      <w:tr>
        <w:trPr>
          <w:tblHeader w:val="true"/>
        </w:trPr>
        <w:tc>
          <w:tcPr>
            <w:tcW w:type="dxa" w:w="1944"/>
            <w:shd w:fill="F2F2F2"/>
            <w:tcMar>
              <w:top w:w="90" w:type="dxa"/>
              <w:start w:w="110" w:type="dxa"/>
              <w:bottom w:w="90" w:type="dxa"/>
              <w:end w:w="110" w:type="dxa"/>
            </w:tcMar>
            <w:vAlign w:val="center"/>
          </w:tcPr>
          <w:p>
            <w:pPr>
              <w:spacing w:after="0"/>
            </w:pPr>
            <w:r>
              <w:rPr>
                <w:b/>
                <w:color w:val="000000"/>
                <w:sz w:val="18"/>
              </w:rPr>
              <w:t>Ordering level</w:t>
            </w:r>
          </w:p>
        </w:tc>
        <w:tc>
          <w:tcPr>
            <w:tcW w:type="dxa" w:w="3960"/>
            <w:shd w:fill="F2F2F2"/>
            <w:tcMar>
              <w:top w:w="90" w:type="dxa"/>
              <w:start w:w="110" w:type="dxa"/>
              <w:bottom w:w="90" w:type="dxa"/>
              <w:end w:w="110" w:type="dxa"/>
            </w:tcMar>
            <w:vAlign w:val="center"/>
          </w:tcPr>
          <w:p>
            <w:pPr>
              <w:spacing w:after="0"/>
            </w:pPr>
            <w:r>
              <w:rPr>
                <w:b/>
                <w:color w:val="000000"/>
                <w:sz w:val="18"/>
              </w:rPr>
              <w:t>Implemented key/order</w:t>
            </w:r>
          </w:p>
        </w:tc>
        <w:tc>
          <w:tcPr>
            <w:tcW w:type="dxa" w:w="4464"/>
            <w:shd w:fill="F2F2F2"/>
            <w:tcMar>
              <w:top w:w="90" w:type="dxa"/>
              <w:start w:w="110" w:type="dxa"/>
              <w:bottom w:w="90" w:type="dxa"/>
              <w:end w:w="110" w:type="dxa"/>
            </w:tcMar>
            <w:vAlign w:val="center"/>
          </w:tcPr>
          <w:p>
            <w:pPr>
              <w:spacing w:after="0"/>
            </w:pPr>
            <w:r>
              <w:rPr>
                <w:b/>
                <w:color w:val="000000"/>
                <w:sz w:val="18"/>
              </w:rPr>
              <w:t>HTD-CSV effect</w:t>
            </w:r>
          </w:p>
        </w:tc>
      </w:tr>
      <w:tr>
        <w:tc>
          <w:tcPr>
            <w:tcW w:type="dxa" w:w="1944"/>
            <w:tcMar>
              <w:top w:w="90" w:type="dxa"/>
              <w:start w:w="110" w:type="dxa"/>
              <w:bottom w:w="90" w:type="dxa"/>
              <w:end w:w="110" w:type="dxa"/>
            </w:tcMar>
            <w:vAlign w:val="center"/>
          </w:tcPr>
          <w:p>
            <w:pPr>
              <w:spacing w:after="0" w:line="240" w:lineRule="auto"/>
            </w:pPr>
            <w:r>
              <w:rPr>
                <w:sz w:val="16"/>
              </w:rPr>
              <w:t>ROOT</w:t>
            </w:r>
          </w:p>
        </w:tc>
        <w:tc>
          <w:tcPr>
            <w:tcW w:type="dxa" w:w="3960"/>
            <w:tcMar>
              <w:top w:w="90" w:type="dxa"/>
              <w:start w:w="110" w:type="dxa"/>
              <w:bottom w:w="90" w:type="dxa"/>
              <w:end w:w="110" w:type="dxa"/>
            </w:tcMar>
            <w:vAlign w:val="center"/>
          </w:tcPr>
          <w:p>
            <w:pPr>
              <w:spacing w:after="0" w:line="240" w:lineRule="auto"/>
            </w:pPr>
            <w:r>
              <w:rPr>
                <w:sz w:val="16"/>
              </w:rPr>
              <w:t>(sequence, Binding order)</w:t>
            </w:r>
          </w:p>
        </w:tc>
        <w:tc>
          <w:tcPr>
            <w:tcW w:type="dxa" w:w="4464"/>
            <w:tcMar>
              <w:top w:w="90" w:type="dxa"/>
              <w:start w:w="110" w:type="dxa"/>
              <w:bottom w:w="90" w:type="dxa"/>
              <w:end w:w="110" w:type="dxa"/>
            </w:tcMar>
            <w:vAlign w:val="center"/>
          </w:tcPr>
          <w:p>
            <w:pPr>
              <w:spacing w:after="0" w:line="240" w:lineRule="auto"/>
            </w:pPr>
            <w:r>
              <w:rPr>
                <w:sz w:val="16"/>
              </w:rPr>
              <w:t>Document-level records first</w:t>
            </w:r>
          </w:p>
        </w:tc>
      </w:tr>
      <w:tr>
        <w:tc>
          <w:tcPr>
            <w:tcW w:type="dxa" w:w="1944"/>
            <w:tcMar>
              <w:top w:w="90" w:type="dxa"/>
              <w:start w:w="110" w:type="dxa"/>
              <w:bottom w:w="90" w:type="dxa"/>
              <w:end w:w="110" w:type="dxa"/>
            </w:tcMar>
            <w:vAlign w:val="center"/>
          </w:tcPr>
          <w:p>
            <w:pPr>
              <w:spacing w:after="0" w:line="240" w:lineRule="auto"/>
            </w:pPr>
            <w:r>
              <w:rPr>
                <w:sz w:val="16"/>
              </w:rPr>
              <w:t>Header groups</w:t>
            </w:r>
          </w:p>
        </w:tc>
        <w:tc>
          <w:tcPr>
            <w:tcW w:type="dxa" w:w="3960"/>
            <w:tcMar>
              <w:top w:w="90" w:type="dxa"/>
              <w:start w:w="110" w:type="dxa"/>
              <w:bottom w:w="90" w:type="dxa"/>
              <w:end w:w="110" w:type="dxa"/>
            </w:tcMar>
            <w:vAlign w:val="center"/>
          </w:tcPr>
          <w:p>
            <w:pPr>
              <w:spacing w:after="0" w:line="240" w:lineRule="auto"/>
            </w:pPr>
            <w:r>
              <w:rPr>
                <w:sz w:val="16"/>
              </w:rPr>
              <w:t>First keyed/marker group appearance</w:t>
            </w:r>
          </w:p>
        </w:tc>
        <w:tc>
          <w:tcPr>
            <w:tcW w:type="dxa" w:w="4464"/>
            <w:tcMar>
              <w:top w:w="90" w:type="dxa"/>
              <w:start w:w="110" w:type="dxa"/>
              <w:bottom w:w="90" w:type="dxa"/>
              <w:end w:w="110" w:type="dxa"/>
            </w:tcMar>
            <w:vAlign w:val="center"/>
          </w:tcPr>
          <w:p>
            <w:pPr>
              <w:spacing w:after="0" w:line="240" w:lineRule="auto"/>
            </w:pPr>
            <w:r>
              <w:rPr>
                <w:sz w:val="16"/>
              </w:rPr>
              <w:t>Stable entry_key blocks</w:t>
            </w:r>
          </w:p>
        </w:tc>
      </w:tr>
      <w:tr>
        <w:tc>
          <w:tcPr>
            <w:tcW w:type="dxa" w:w="1944"/>
            <w:tcMar>
              <w:top w:w="90" w:type="dxa"/>
              <w:start w:w="110" w:type="dxa"/>
              <w:bottom w:w="90" w:type="dxa"/>
              <w:end w:w="110" w:type="dxa"/>
            </w:tcMar>
            <w:vAlign w:val="center"/>
          </w:tcPr>
          <w:p>
            <w:pPr>
              <w:spacing w:after="0" w:line="240" w:lineRule="auto"/>
            </w:pPr>
            <w:r>
              <w:rPr>
                <w:sz w:val="16"/>
              </w:rPr>
              <w:t>HEADER facts</w:t>
            </w:r>
          </w:p>
        </w:tc>
        <w:tc>
          <w:tcPr>
            <w:tcW w:type="dxa" w:w="3960"/>
            <w:tcMar>
              <w:top w:w="90" w:type="dxa"/>
              <w:start w:w="110" w:type="dxa"/>
              <w:bottom w:w="90" w:type="dxa"/>
              <w:end w:w="110" w:type="dxa"/>
            </w:tcMar>
            <w:vAlign w:val="center"/>
          </w:tcPr>
          <w:p>
            <w:pPr>
              <w:spacing w:after="0" w:line="240" w:lineRule="auto"/>
            </w:pPr>
            <w:r>
              <w:rPr>
                <w:sz w:val="16"/>
              </w:rPr>
              <w:t>(sequence, Binding order)</w:t>
            </w:r>
          </w:p>
        </w:tc>
        <w:tc>
          <w:tcPr>
            <w:tcW w:type="dxa" w:w="4464"/>
            <w:tcMar>
              <w:top w:w="90" w:type="dxa"/>
              <w:start w:w="110" w:type="dxa"/>
              <w:bottom w:w="90" w:type="dxa"/>
              <w:end w:w="110" w:type="dxa"/>
            </w:tcMar>
            <w:vAlign w:val="center"/>
          </w:tcPr>
          <w:p>
            <w:pPr>
              <w:spacing w:after="0" w:line="240" w:lineRule="auto"/>
            </w:pPr>
            <w:r>
              <w:rPr>
                <w:sz w:val="16"/>
              </w:rPr>
              <w:t>Header records before detail records</w:t>
            </w:r>
          </w:p>
        </w:tc>
      </w:tr>
      <w:tr>
        <w:tc>
          <w:tcPr>
            <w:tcW w:type="dxa" w:w="1944"/>
            <w:tcMar>
              <w:top w:w="90" w:type="dxa"/>
              <w:start w:w="110" w:type="dxa"/>
              <w:bottom w:w="90" w:type="dxa"/>
              <w:end w:w="110" w:type="dxa"/>
            </w:tcMar>
            <w:vAlign w:val="center"/>
          </w:tcPr>
          <w:p>
            <w:pPr>
              <w:spacing w:after="0" w:line="240" w:lineRule="auto"/>
            </w:pPr>
            <w:r>
              <w:rPr>
                <w:sz w:val="16"/>
              </w:rPr>
              <w:t>Physical detail rows</w:t>
            </w:r>
          </w:p>
        </w:tc>
        <w:tc>
          <w:tcPr>
            <w:tcW w:type="dxa" w:w="3960"/>
            <w:tcMar>
              <w:top w:w="90" w:type="dxa"/>
              <w:start w:w="110" w:type="dxa"/>
              <w:bottom w:w="90" w:type="dxa"/>
              <w:end w:w="110" w:type="dxa"/>
            </w:tcMar>
            <w:vAlign w:val="center"/>
          </w:tcPr>
          <w:p>
            <w:pPr>
              <w:spacing w:after="0" w:line="240" w:lineRule="auto"/>
            </w:pPr>
            <w:r>
              <w:rPr>
                <w:sz w:val="16"/>
              </w:rPr>
              <w:t>Original source_index within group</w:t>
            </w:r>
          </w:p>
        </w:tc>
        <w:tc>
          <w:tcPr>
            <w:tcW w:type="dxa" w:w="4464"/>
            <w:tcMar>
              <w:top w:w="90" w:type="dxa"/>
              <w:start w:w="110" w:type="dxa"/>
              <w:bottom w:w="90" w:type="dxa"/>
              <w:end w:w="110" w:type="dxa"/>
            </w:tcMar>
            <w:vAlign w:val="center"/>
          </w:tcPr>
          <w:p>
            <w:pPr>
              <w:spacing w:after="0" w:line="240" w:lineRule="auto"/>
            </w:pPr>
            <w:r>
              <w:rPr>
                <w:sz w:val="16"/>
              </w:rPr>
              <w:t>Preserves physical row occurrence</w:t>
            </w:r>
          </w:p>
        </w:tc>
      </w:tr>
      <w:tr>
        <w:tc>
          <w:tcPr>
            <w:tcW w:type="dxa" w:w="1944"/>
            <w:tcMar>
              <w:top w:w="90" w:type="dxa"/>
              <w:start w:w="110" w:type="dxa"/>
              <w:bottom w:w="90" w:type="dxa"/>
              <w:end w:w="110" w:type="dxa"/>
            </w:tcMar>
            <w:vAlign w:val="center"/>
          </w:tcPr>
          <w:p>
            <w:pPr>
              <w:spacing w:after="0" w:line="240" w:lineRule="auto"/>
            </w:pPr>
            <w:r>
              <w:rPr>
                <w:sz w:val="16"/>
              </w:rPr>
              <w:t>Variants</w:t>
            </w:r>
          </w:p>
        </w:tc>
        <w:tc>
          <w:tcPr>
            <w:tcW w:type="dxa" w:w="3960"/>
            <w:tcMar>
              <w:top w:w="90" w:type="dxa"/>
              <w:start w:w="110" w:type="dxa"/>
              <w:bottom w:w="90" w:type="dxa"/>
              <w:end w:w="110" w:type="dxa"/>
            </w:tcMar>
            <w:vAlign w:val="center"/>
          </w:tcPr>
          <w:p>
            <w:pPr>
              <w:spacing w:after="0" w:line="240" w:lineRule="auto"/>
            </w:pPr>
            <w:r>
              <w:rPr>
                <w:sz w:val="16"/>
              </w:rPr>
              <w:t>First selector declaration order</w:t>
            </w:r>
          </w:p>
        </w:tc>
        <w:tc>
          <w:tcPr>
            <w:tcW w:type="dxa" w:w="4464"/>
            <w:tcMar>
              <w:top w:w="90" w:type="dxa"/>
              <w:start w:w="110" w:type="dxa"/>
              <w:bottom w:w="90" w:type="dxa"/>
              <w:end w:w="110" w:type="dxa"/>
            </w:tcMar>
            <w:vAlign w:val="center"/>
          </w:tcPr>
          <w:p>
            <w:pPr>
              <w:spacing w:after="0" w:line="240" w:lineRule="auto"/>
            </w:pPr>
            <w:r>
              <w:rPr>
                <w:sz w:val="16"/>
              </w:rPr>
              <w:t>Profile-defined sibling occurrence order</w:t>
            </w:r>
          </w:p>
        </w:tc>
      </w:tr>
      <w:tr>
        <w:tc>
          <w:tcPr>
            <w:tcW w:type="dxa" w:w="1944"/>
            <w:tcMar>
              <w:top w:w="90" w:type="dxa"/>
              <w:start w:w="110" w:type="dxa"/>
              <w:bottom w:w="90" w:type="dxa"/>
              <w:end w:w="110" w:type="dxa"/>
            </w:tcMar>
            <w:vAlign w:val="center"/>
          </w:tcPr>
          <w:p>
            <w:pPr>
              <w:spacing w:after="0" w:line="240" w:lineRule="auto"/>
            </w:pPr>
            <w:r>
              <w:rPr>
                <w:sz w:val="16"/>
              </w:rPr>
              <w:t>Facts within variant</w:t>
            </w:r>
          </w:p>
        </w:tc>
        <w:tc>
          <w:tcPr>
            <w:tcW w:type="dxa" w:w="3960"/>
            <w:tcMar>
              <w:top w:w="90" w:type="dxa"/>
              <w:start w:w="110" w:type="dxa"/>
              <w:bottom w:w="90" w:type="dxa"/>
              <w:end w:w="110" w:type="dxa"/>
            </w:tcMar>
            <w:vAlign w:val="center"/>
          </w:tcPr>
          <w:p>
            <w:pPr>
              <w:spacing w:after="0" w:line="240" w:lineRule="auto"/>
            </w:pPr>
            <w:r>
              <w:rPr>
                <w:sz w:val="16"/>
              </w:rPr>
              <w:t>(sequence, Binding order)</w:t>
            </w:r>
          </w:p>
        </w:tc>
        <w:tc>
          <w:tcPr>
            <w:tcW w:type="dxa" w:w="4464"/>
            <w:tcMar>
              <w:top w:w="90" w:type="dxa"/>
              <w:start w:w="110" w:type="dxa"/>
              <w:bottom w:w="90" w:type="dxa"/>
              <w:end w:w="110" w:type="dxa"/>
            </w:tcMar>
            <w:vAlign w:val="center"/>
          </w:tcPr>
          <w:p>
            <w:pPr>
              <w:spacing w:after="0" w:line="240" w:lineRule="auto"/>
            </w:pPr>
            <w:r>
              <w:rPr>
                <w:sz w:val="16"/>
              </w:rPr>
              <w:t>HMD order with deterministic tie-break</w:t>
            </w:r>
          </w:p>
        </w:tc>
      </w:tr>
    </w:tbl>
    <w:p>
      <w:pPr>
        <w:spacing w:after="0"/>
      </w:pPr>
    </w:p>
    <w:p>
      <w:pPr>
        <w:pStyle w:val="3"/>
      </w:pPr>
      <w:r>
        <w:t>13.3.5 e) HTD-CSV file output</w:t>
      </w:r>
    </w:p>
    <w:p>
      <w:r/>
      <w:r>
        <w:t>The output is opened directly with the selected output encoding and newline=''. csv.DictWriter writes the exact STRUCTURED_FIELDS header and then the records. No temporary-file promotion, manifest or hash is produced by the converter. ConversionSummary reports physical source rows, Structured CSV record count, profile width and any reverse overwrite counts.</w:t>
      </w:r>
    </w:p>
    <w:p>
      <w:pPr>
        <w:pStyle w:val="20"/>
      </w:pPr>
      <w:r>
        <w:t>13.4 HTD-CSV to HTD-D and physical Flat CSV</w:t>
      </w:r>
    </w:p>
    <w:p>
      <w:r/>
      <w:r>
        <w:t>Reverse conversion rebuilds a logical HTD-D index from the explicit identity fields in HTD-CSV, then projects each detail identity into one fixed-width physical target row. Figure 4 shows the indexing, variant ordering, physical-column assignment, marker reconstruction and output sequence.</w:t>
      </w:r>
    </w:p>
    <w:p>
      <w:pPr>
        <w:keepNext/>
      </w:pPr>
      <w:r/>
      <w:r>
        <w:t>Figure 4 illustrates hTD-CSV to HTD-D and Flat CSV construction. The numbered figure is referenced here as part of the implementation-level processing description.</w:t>
      </w:r>
    </w:p>
    <w:p>
      <w:pPr>
        <w:keepNext/>
        <w:jc w:val="center"/>
      </w:pPr>
      <w:r>
        <w:drawing>
          <wp:inline xmlns:a="http://schemas.openxmlformats.org/drawingml/2006/main" xmlns:pic="http://schemas.openxmlformats.org/drawingml/2006/picture">
            <wp:extent cx="5805714" cy="5450114"/>
            <wp:docPr id="6" name="Picture 6" descr="Figure 6 — HTD-CSV to HTD-D and Flat CSV construction"/>
            <wp:cNvGraphicFramePr>
              <a:graphicFrameLocks noChangeAspect="1"/>
            </wp:cNvGraphicFramePr>
            <a:graphic>
              <a:graphicData uri="http://schemas.openxmlformats.org/drawingml/2006/picture">
                <pic:pic>
                  <pic:nvPicPr>
                    <pic:cNvPr id="0" name="flat_htd_reverse.png"/>
                    <pic:cNvPicPr/>
                  </pic:nvPicPr>
                  <pic:blipFill>
                    <a:blip r:embed="rId32"/>
                    <a:stretch>
                      <a:fillRect/>
                    </a:stretch>
                  </pic:blipFill>
                  <pic:spPr>
                    <a:xfrm>
                      <a:off x="0" y="0"/>
                      <a:ext cx="5805714" cy="5450114"/>
                    </a:xfrm>
                    <a:prstGeom prst="rect"/>
                  </pic:spPr>
                </pic:pic>
              </a:graphicData>
            </a:graphic>
          </wp:inline>
        </w:drawing>
      </w:r>
    </w:p>
    <w:p>
      <w:pPr>
        <w:pStyle w:val="af2"/>
        <w:jc w:val="center"/>
      </w:pPr>
      <w:r/>
      <w:r>
        <w:t>Figure 4 — HTD-CSV to HTD-D and Flat CSV construction</w:t>
      </w:r>
    </w:p>
    <w:p>
      <w:pPr>
        <w:pStyle w:val="3"/>
      </w:pPr>
      <w:r>
        <w:t>13.4.1 e) Reading HTD-CSV and positioning values in HTD-D</w:t>
      </w:r>
    </w:p>
    <w:p>
      <w:r/>
      <w:r>
        <w:t>convert_to_flat loads and validates the Binding/HMD, builds by_path from selector-preserving binding_path values, derives variant_rank in Binding declaration order, resolves the profile width, and reads the complete Structured CSV. The header must equal STRUCTURED_FIELDS. _validated_structured_rows also verifies binding_path, neutral semantic_path, sequence, occurrence and positive source_row values before reconstruction.</w:t>
      </w:r>
    </w:p>
    <w:p>
      <w:pPr>
        <w:pStyle w:val="3"/>
      </w:pPr>
      <w:r>
        <w:t>13.4.2 d) Processing HTD-D and expanding physical Flat CSV schema data</w:t>
      </w:r>
    </w:p>
    <w:p>
      <w:r>
        <w:t>details items are sorted by source_row only; Python's stable ordering retains insertion order for equal source-row numbers across different entry keys. For each detail identity, target = [''] * profile_width creates the physical schema row. The ordered input to that target is the matching HEADER records followed by detail records sorted by (variant_rank[occurrence], integer sequence, binding_path). by_path resolves each record to one BindingRow, reverse transformation is applied, and BindingRow.column selects the one-based target list position.</w:t>
      </w:r>
    </w:p>
    <w:p>
      <w:r/>
      <w:r>
        <w:t>Flat CSV grouping identity is recorded in three fields: entry_key identifies the header group, source_row identifies the physical row occurrence, and occurrence identifies the selector variant. keyed_rows derives entry_key from configured physical key columns; marker_rows derives a deterministic ordinal after validating its state machine. Reverse marker processing regroups by entry_key, blanks repeated header columns after the first row, and regenerates the configured single/start/continue/end controls.</w:t>
      </w:r>
    </w:p>
    <w:tbl>
      <w:tblPr>
        <w:tblStyle w:val="af7"/>
        <w:tblW w:type="dxa" w:w="9720"/>
        <w:jc w:val="center"/>
        <w:tblLayout w:type="fixed"/>
        <w:tblLook w:firstColumn="1" w:firstRow="1" w:lastColumn="0" w:lastRow="0" w:noHBand="0" w:noVBand="1" w:val="04A0"/>
      </w:tblPr>
      <w:tblGrid>
        <w:gridCol w:w="9720"/>
      </w:tblGrid>
      <w:tr>
        <w:tc>
          <w:tcPr>
            <w:tcW w:type="dxa" w:w="9720"/>
            <w:tcMar>
              <w:top w:w="90" w:type="dxa"/>
              <w:start w:w="110" w:type="dxa"/>
              <w:bottom w:w="90" w:type="dxa"/>
              <w:end w:w="110" w:type="dxa"/>
            </w:tcMar>
            <w:vAlign w:val="center"/>
          </w:tcPr>
          <w:p>
            <w:pPr>
              <w:keepLines/>
              <w:spacing w:after="0"/>
            </w:pPr>
            <w:r>
              <w:rPr>
                <w:rFonts w:ascii="Consolas" w:hAnsi="Consolas"/>
                <w:sz w:val="17"/>
              </w:rPr>
              <w:t>header_values[entry_key] -&gt; HEADER HTD records</w:t>
              <w:br/>
              <w:t>details[(entry_key, source_row)] -&gt; variant HTD records</w:t>
              <w:br/>
              <w:br/>
              <w:t>for (entry_key, source_row) ordered by source_row:</w:t>
              <w:br/>
              <w:t xml:space="preserve">    target = [''] * profile_width</w:t>
              <w:br/>
              <w:t xml:space="preserve">    ordered = HEADER records + detail records sorted by</w:t>
              <w:br/>
              <w:t xml:space="preserve">              (variant rank, sequence, binding_path)</w:t>
              <w:br/>
              <w:t xml:space="preserve">    for record in ordered:</w:t>
              <w:br/>
              <w:t xml:space="preserve">        binding = by_path[record.binding_path]</w:t>
              <w:br/>
              <w:t xml:space="preserve">        target[ColumnN - 1] = reverse_transform(record.value)</w:t>
              <w:br/>
              <w:t xml:space="preserve">    output_records.append((entry_key, source_row, target))</w:t>
              <w:br/>
              <w:br/>
              <w:t>if marker_rows:</w:t>
              <w:br/>
              <w:t xml:space="preserve">    regroup targets by entry_key and regenerate marker/header repetition rules</w:t>
            </w:r>
          </w:p>
        </w:tc>
      </w:tr>
    </w:tbl>
    <w:p>
      <w:pPr>
        <w:spacing w:after="0"/>
      </w:pPr>
    </w:p>
    <w:p>
      <w:pPr>
        <w:keepNext/>
      </w:pPr>
      <w:r>
        <w:t>Table 12 summarizes flat csv group identity and physical-row generation. The entries provide the implementation evidence used by the surrounding specification text.</w:t>
      </w:r>
    </w:p>
    <w:p>
      <w:pPr>
        <w:pStyle w:val="af2"/>
        <w:keepNext/>
        <w:jc w:val="center"/>
      </w:pPr>
      <w:r>
        <w:t>Table 12 — Flat CSV group identity and physical-row generation</w:t>
      </w:r>
    </w:p>
    <w:tbl>
      <w:tblPr>
        <w:tblStyle w:val="af7"/>
        <w:tblW w:type="dxa" w:w="10367"/>
        <w:jc w:val="center"/>
        <w:tblLayout w:type="fixed"/>
        <w:tblLook w:firstColumn="1" w:firstRow="1" w:lastColumn="0" w:lastRow="0" w:noHBand="0" w:noVBand="1" w:val="04A0"/>
      </w:tblPr>
      <w:tblGrid>
        <w:gridCol w:w="2015"/>
        <w:gridCol w:w="2951"/>
        <w:gridCol w:w="2448"/>
        <w:gridCol w:w="2951"/>
      </w:tblGrid>
      <w:tr>
        <w:trPr>
          <w:tblHeader w:val="true"/>
        </w:trPr>
        <w:tc>
          <w:tcPr>
            <w:tcW w:type="dxa" w:w="2015"/>
            <w:shd w:fill="F2F2F2"/>
            <w:tcMar>
              <w:top w:w="90" w:type="dxa"/>
              <w:start w:w="110" w:type="dxa"/>
              <w:bottom w:w="90" w:type="dxa"/>
              <w:end w:w="110" w:type="dxa"/>
            </w:tcMar>
            <w:vAlign w:val="center"/>
          </w:tcPr>
          <w:p>
            <w:r>
              <w:t>Grouping information</w:t>
            </w:r>
          </w:p>
        </w:tc>
        <w:tc>
          <w:tcPr>
            <w:tcW w:type="dxa" w:w="2951"/>
            <w:shd w:fill="F2F2F2"/>
            <w:tcMar>
              <w:top w:w="90" w:type="dxa"/>
              <w:start w:w="110" w:type="dxa"/>
              <w:bottom w:w="90" w:type="dxa"/>
              <w:end w:w="110" w:type="dxa"/>
            </w:tcMar>
            <w:vAlign w:val="center"/>
          </w:tcPr>
          <w:p>
            <w:r>
              <w:t>Where recorded</w:t>
            </w:r>
          </w:p>
        </w:tc>
        <w:tc>
          <w:tcPr>
            <w:tcW w:type="dxa" w:w="2448"/>
            <w:shd w:fill="F2F2F2"/>
            <w:tcMar>
              <w:top w:w="90" w:type="dxa"/>
              <w:start w:w="110" w:type="dxa"/>
              <w:bottom w:w="90" w:type="dxa"/>
              <w:end w:w="110" w:type="dxa"/>
            </w:tcMar>
            <w:vAlign w:val="center"/>
          </w:tcPr>
          <w:p>
            <w:r>
              <w:t>Processing order</w:t>
            </w:r>
          </w:p>
        </w:tc>
        <w:tc>
          <w:tcPr>
            <w:tcW w:type="dxa" w:w="2951"/>
            <w:shd w:fill="F2F2F2"/>
            <w:tcMar>
              <w:top w:w="90" w:type="dxa"/>
              <w:start w:w="110" w:type="dxa"/>
              <w:bottom w:w="90" w:type="dxa"/>
              <w:end w:w="110" w:type="dxa"/>
            </w:tcMar>
            <w:vAlign w:val="center"/>
          </w:tcPr>
          <w:p>
            <w:r>
              <w:t>Physical effect</w:t>
            </w:r>
          </w:p>
        </w:tc>
      </w:tr>
      <w:tr>
        <w:tc>
          <w:tcPr>
            <w:tcW w:type="dxa" w:w="2015"/>
          </w:tcPr>
          <w:p>
            <w:r>
              <w:t>Header group identity</w:t>
            </w:r>
          </w:p>
        </w:tc>
        <w:tc>
          <w:tcPr>
            <w:tcW w:type="dxa" w:w="2951"/>
          </w:tcPr>
          <w:p>
            <w:r>
              <w:t>entry_key</w:t>
            </w:r>
          </w:p>
        </w:tc>
        <w:tc>
          <w:tcPr>
            <w:tcW w:type="dxa" w:w="2448"/>
          </w:tcPr>
          <w:p>
            <w:r>
              <w:t>Index and regroup key</w:t>
            </w:r>
          </w:p>
        </w:tc>
        <w:tc>
          <w:tcPr>
            <w:tcW w:type="dxa" w:w="2951"/>
          </w:tcPr>
          <w:p>
            <w:r>
              <w:t>Shares header fields and marker scope</w:t>
            </w:r>
          </w:p>
        </w:tc>
      </w:tr>
      <w:tr>
        <w:tc>
          <w:tcPr>
            <w:tcW w:type="dxa" w:w="2015"/>
          </w:tcPr>
          <w:p>
            <w:r>
              <w:t>Physical row identity</w:t>
            </w:r>
          </w:p>
        </w:tc>
        <w:tc>
          <w:tcPr>
            <w:tcW w:type="dxa" w:w="2951"/>
          </w:tcPr>
          <w:p>
            <w:r>
              <w:t>positive source_row</w:t>
            </w:r>
          </w:p>
        </w:tc>
        <w:tc>
          <w:tcPr>
            <w:tcW w:type="dxa" w:w="2448"/>
          </w:tcPr>
          <w:p>
            <w:r>
              <w:t>Primary reverse ordering component</w:t>
            </w:r>
          </w:p>
        </w:tc>
        <w:tc>
          <w:tcPr>
            <w:tcW w:type="dxa" w:w="2951"/>
          </w:tcPr>
          <w:p>
            <w:r>
              <w:t>Creates one fixed-width row</w:t>
            </w:r>
          </w:p>
        </w:tc>
      </w:tr>
      <w:tr>
        <w:tc>
          <w:tcPr>
            <w:tcW w:type="dxa" w:w="2015"/>
          </w:tcPr>
          <w:p>
            <w:r>
              <w:t>Sibling variant</w:t>
            </w:r>
          </w:p>
        </w:tc>
        <w:tc>
          <w:tcPr>
            <w:tcW w:type="dxa" w:w="2951"/>
          </w:tcPr>
          <w:p>
            <w:r>
              <w:t>occurrence and variant_rank</w:t>
            </w:r>
          </w:p>
        </w:tc>
        <w:tc>
          <w:tcPr>
            <w:tcW w:type="dxa" w:w="2448"/>
          </w:tcPr>
          <w:p>
            <w:r>
              <w:t>Binding declaration order</w:t>
            </w:r>
          </w:p>
        </w:tc>
        <w:tc>
          <w:tcPr>
            <w:tcW w:type="dxa" w:w="2951"/>
          </w:tcPr>
          <w:p>
            <w:r>
              <w:t>Determines profile-defined precedence</w:t>
            </w:r>
          </w:p>
        </w:tc>
      </w:tr>
      <w:tr>
        <w:tc>
          <w:tcPr>
            <w:tcW w:type="dxa" w:w="2015"/>
          </w:tcPr>
          <w:p>
            <w:r>
              <w:t>Fact-to-column mapping</w:t>
            </w:r>
          </w:p>
        </w:tc>
        <w:tc>
          <w:tcPr>
            <w:tcW w:type="dxa" w:w="2951"/>
          </w:tcPr>
          <w:p>
            <w:r>
              <w:t>binding_path -&gt; BindingRow.column</w:t>
            </w:r>
          </w:p>
        </w:tc>
        <w:tc>
          <w:tcPr>
            <w:tcW w:type="dxa" w:w="2448"/>
          </w:tcPr>
          <w:p>
            <w:r>
              <w:t>After header/variant ordering</w:t>
            </w:r>
          </w:p>
        </w:tc>
        <w:tc>
          <w:tcPr>
            <w:tcW w:type="dxa" w:w="2951"/>
          </w:tcPr>
          <w:p>
            <w:r>
              <w:t>Assigns target[ColumnN - 1]</w:t>
            </w:r>
          </w:p>
        </w:tc>
      </w:tr>
      <w:tr>
        <w:tc>
          <w:tcPr>
            <w:tcW w:type="dxa" w:w="2015"/>
          </w:tcPr>
          <w:p>
            <w:r>
              <w:t>Shared-column conflict</w:t>
            </w:r>
          </w:p>
        </w:tc>
        <w:tc>
          <w:tcPr>
            <w:tcW w:type="dxa" w:w="2951"/>
          </w:tcPr>
          <w:p>
            <w:r>
              <w:t>target value + overwrite counter</w:t>
            </w:r>
          </w:p>
        </w:tc>
        <w:tc>
          <w:tcPr>
            <w:tcW w:type="dxa" w:w="2448"/>
          </w:tcPr>
          <w:p>
            <w:r>
              <w:t>Later non-empty ordered value wins</w:t>
            </w:r>
          </w:p>
        </w:tc>
        <w:tc>
          <w:tcPr>
            <w:tcW w:type="dxa" w:w="2951"/>
          </w:tcPr>
          <w:p>
            <w:r>
              <w:t>One physical value plus aggregate count</w:t>
            </w:r>
          </w:p>
        </w:tc>
      </w:tr>
      <w:tr>
        <w:tc>
          <w:tcPr>
            <w:tcW w:type="dxa" w:w="2015"/>
          </w:tcPr>
          <w:p>
            <w:r>
              <w:t>Marker reconstruction</w:t>
            </w:r>
          </w:p>
        </w:tc>
        <w:tc>
          <w:tcPr>
            <w:tcW w:type="dxa" w:w="2951"/>
          </w:tcPr>
          <w:p>
            <w:r>
              <w:t>entry_key + GroupSpec</w:t>
            </w:r>
          </w:p>
        </w:tc>
        <w:tc>
          <w:tcPr>
            <w:tcW w:type="dxa" w:w="2448"/>
          </w:tcPr>
          <w:p>
            <w:r>
              <w:t>After targets exist</w:t>
            </w:r>
          </w:p>
        </w:tc>
        <w:tc>
          <w:tcPr>
            <w:tcW w:type="dxa" w:w="2951"/>
          </w:tcPr>
          <w:p>
            <w:r>
              <w:t>Writes configured controls and blanks repeated headers</w:t>
            </w:r>
          </w:p>
        </w:tc>
      </w:tr>
    </w:tbl>
    <w:p>
      <w:pPr>
        <w:spacing w:after="0"/>
      </w:pPr>
    </w:p>
    <w:p>
      <w:pPr>
        <w:pStyle w:val="3"/>
      </w:pPr>
      <w:r>
        <w:t>13.4.3 c) Physical Flat CSV file output</w:t>
      </w:r>
    </w:p>
    <w:p>
      <w:r>
        <w:t>output_rows preserves output_records order and contains one list[str] of exactly profile_width cells for each reconstructed physical row. csv.writer writes the rows directly to the requested path with the selected output encoding and no header. If summary_log is supplied, the value-free overwrite summary is written after the Flat CSV. There is no atomic pair publication or rollback.</w:t>
      </w:r>
    </w:p>
    <w:p>
      <w:pPr>
        <w:pStyle w:val="20"/>
      </w:pPr>
      <w:r>
        <w:t>13.5 Flat CSV versus XML Syntax Binding hierarchy construction</w:t>
      </w:r>
    </w:p>
    <w:p>
      <w:r>
        <w:t>Table 13 highlights why Flat CSV processing cannot reuse the XML traversal algorithm. Flat CSV must infer hierarchy from positional grouping controls and variants, whereas XML begins with an explicit node hierarchy and derives dimensions from repeated contexts.</w:t>
      </w:r>
    </w:p>
    <w:p>
      <w:pPr>
        <w:keepNext/>
      </w:pPr>
      <w:r>
        <w:t>Table 13 summarizes flat csv and xml hierarchy-construction differences. The entries provide the implementation evidence used by the surrounding specification text.</w:t>
      </w:r>
    </w:p>
    <w:p>
      <w:pPr>
        <w:pStyle w:val="af2"/>
        <w:keepNext/>
        <w:jc w:val="center"/>
      </w:pPr>
      <w:r>
        <w:t>Table 13 — Flat CSV and XML hierarchy-construction differences</w:t>
      </w:r>
    </w:p>
    <w:tbl>
      <w:tblPr>
        <w:tblStyle w:val="af7"/>
        <w:tblW w:type="dxa" w:w="10368"/>
        <w:jc w:val="center"/>
        <w:tblLayout w:type="fixed"/>
        <w:tblLook w:firstColumn="1" w:firstRow="1" w:lastColumn="0" w:lastRow="0" w:noHBand="0" w:noVBand="1" w:val="04A0"/>
      </w:tblPr>
      <w:tblGrid>
        <w:gridCol w:w="1800"/>
        <w:gridCol w:w="4320"/>
        <w:gridCol w:w="4248"/>
      </w:tblGrid>
      <w:tr>
        <w:trPr>
          <w:tblHeader w:val="true"/>
        </w:trPr>
        <w:tc>
          <w:tcPr>
            <w:tcW w:type="dxa" w:w="1800"/>
            <w:shd w:fill="F2F2F2"/>
            <w:tcMar>
              <w:top w:w="90" w:type="dxa"/>
              <w:start w:w="110" w:type="dxa"/>
              <w:bottom w:w="90" w:type="dxa"/>
              <w:end w:w="110" w:type="dxa"/>
            </w:tcMar>
            <w:vAlign w:val="center"/>
          </w:tcPr>
          <w:p>
            <w:pPr>
              <w:spacing w:after="0"/>
            </w:pPr>
            <w:r>
              <w:rPr>
                <w:b/>
                <w:color w:val="000000"/>
                <w:sz w:val="18"/>
              </w:rPr>
              <w:t>Aspect</w:t>
            </w:r>
          </w:p>
        </w:tc>
        <w:tc>
          <w:tcPr>
            <w:tcW w:type="dxa" w:w="4320"/>
            <w:shd w:fill="F2F2F2"/>
            <w:tcMar>
              <w:top w:w="90" w:type="dxa"/>
              <w:start w:w="110" w:type="dxa"/>
              <w:bottom w:w="90" w:type="dxa"/>
              <w:end w:w="110" w:type="dxa"/>
            </w:tcMar>
            <w:vAlign w:val="center"/>
          </w:tcPr>
          <w:p>
            <w:pPr>
              <w:spacing w:after="0"/>
            </w:pPr>
            <w:r>
              <w:rPr>
                <w:b/>
                <w:color w:val="000000"/>
                <w:sz w:val="18"/>
              </w:rPr>
              <w:t>Flat CSV canonical Binding</w:t>
            </w:r>
          </w:p>
        </w:tc>
        <w:tc>
          <w:tcPr>
            <w:tcW w:type="dxa" w:w="4248"/>
            <w:shd w:fill="F2F2F2"/>
            <w:tcMar>
              <w:top w:w="90" w:type="dxa"/>
              <w:start w:w="110" w:type="dxa"/>
              <w:bottom w:w="90" w:type="dxa"/>
              <w:end w:w="110" w:type="dxa"/>
            </w:tcMar>
            <w:vAlign w:val="center"/>
          </w:tcPr>
          <w:p>
            <w:pPr>
              <w:spacing w:after="0"/>
            </w:pPr>
            <w:r>
              <w:rPr>
                <w:b/>
                <w:color w:val="000000"/>
                <w:sz w:val="18"/>
              </w:rPr>
              <w:t>XML Syntax Binding</w:t>
            </w:r>
          </w:p>
        </w:tc>
      </w:tr>
      <w:tr>
        <w:tc>
          <w:tcPr>
            <w:tcW w:type="dxa" w:w="1800"/>
            <w:tcMar>
              <w:top w:w="90" w:type="dxa"/>
              <w:start w:w="110" w:type="dxa"/>
              <w:bottom w:w="90" w:type="dxa"/>
              <w:end w:w="110" w:type="dxa"/>
            </w:tcMar>
            <w:vAlign w:val="center"/>
          </w:tcPr>
          <w:p>
            <w:pPr>
              <w:spacing w:after="0" w:line="240" w:lineRule="auto"/>
            </w:pPr>
            <w:r>
              <w:rPr>
                <w:sz w:val="15"/>
              </w:rPr>
              <w:t>Physical address</w:t>
            </w:r>
          </w:p>
        </w:tc>
        <w:tc>
          <w:tcPr>
            <w:tcW w:type="dxa" w:w="4320"/>
            <w:tcMar>
              <w:top w:w="90" w:type="dxa"/>
              <w:start w:w="110" w:type="dxa"/>
              <w:bottom w:w="90" w:type="dxa"/>
              <w:end w:w="110" w:type="dxa"/>
            </w:tcMar>
            <w:vAlign w:val="center"/>
          </w:tcPr>
          <w:p>
            <w:pPr>
              <w:spacing w:after="0" w:line="240" w:lineRule="auto"/>
            </w:pPr>
            <w:r>
              <w:rPr>
                <w:sz w:val="15"/>
              </w:rPr>
              <w:t>One-based ColumnN position plus Binding selector</w:t>
            </w:r>
          </w:p>
        </w:tc>
        <w:tc>
          <w:tcPr>
            <w:tcW w:type="dxa" w:w="4248"/>
            <w:tcMar>
              <w:top w:w="90" w:type="dxa"/>
              <w:start w:w="110" w:type="dxa"/>
              <w:bottom w:w="90" w:type="dxa"/>
              <w:end w:w="110" w:type="dxa"/>
            </w:tcMar>
            <w:vAlign w:val="center"/>
          </w:tcPr>
          <w:p>
            <w:pPr>
              <w:spacing w:after="0" w:line="240" w:lineRule="auto"/>
            </w:pPr>
            <w:r>
              <w:rPr>
                <w:sz w:val="15"/>
              </w:rPr>
              <w:t>XPath and namespace-aware Element context</w:t>
            </w:r>
          </w:p>
        </w:tc>
      </w:tr>
      <w:tr>
        <w:tc>
          <w:tcPr>
            <w:tcW w:type="dxa" w:w="1800"/>
            <w:tcMar>
              <w:top w:w="90" w:type="dxa"/>
              <w:start w:w="110" w:type="dxa"/>
              <w:bottom w:w="90" w:type="dxa"/>
              <w:end w:w="110" w:type="dxa"/>
            </w:tcMar>
            <w:vAlign w:val="center"/>
          </w:tcPr>
          <w:p>
            <w:pPr>
              <w:spacing w:after="0" w:line="240" w:lineRule="auto"/>
            </w:pPr>
            <w:r>
              <w:rPr>
                <w:sz w:val="15"/>
              </w:rPr>
              <w:t>Initial source structure</w:t>
            </w:r>
          </w:p>
        </w:tc>
        <w:tc>
          <w:tcPr>
            <w:tcW w:type="dxa" w:w="4320"/>
            <w:tcMar>
              <w:top w:w="90" w:type="dxa"/>
              <w:start w:w="110" w:type="dxa"/>
              <w:bottom w:w="90" w:type="dxa"/>
              <w:end w:w="110" w:type="dxa"/>
            </w:tcMar>
            <w:vAlign w:val="center"/>
          </w:tcPr>
          <w:p>
            <w:pPr>
              <w:spacing w:after="0" w:line="240" w:lineRule="auto"/>
            </w:pPr>
            <w:r>
              <w:rPr>
                <w:sz w:val="15"/>
              </w:rPr>
              <w:t>Headerless positional rows; hierarchy not explicit</w:t>
            </w:r>
          </w:p>
        </w:tc>
        <w:tc>
          <w:tcPr>
            <w:tcW w:type="dxa" w:w="4248"/>
            <w:tcMar>
              <w:top w:w="90" w:type="dxa"/>
              <w:start w:w="110" w:type="dxa"/>
              <w:bottom w:w="90" w:type="dxa"/>
              <w:end w:w="110" w:type="dxa"/>
            </w:tcMar>
            <w:vAlign w:val="center"/>
          </w:tcPr>
          <w:p>
            <w:pPr>
              <w:spacing w:after="0" w:line="240" w:lineRule="auto"/>
            </w:pPr>
            <w:r>
              <w:rPr>
                <w:sz w:val="15"/>
              </w:rPr>
              <w:t>Already hierarchical ElementTree</w:t>
            </w:r>
          </w:p>
        </w:tc>
      </w:tr>
      <w:tr>
        <w:tc>
          <w:tcPr>
            <w:tcW w:type="dxa" w:w="1800"/>
            <w:tcMar>
              <w:top w:w="90" w:type="dxa"/>
              <w:start w:w="110" w:type="dxa"/>
              <w:bottom w:w="90" w:type="dxa"/>
              <w:end w:w="110" w:type="dxa"/>
            </w:tcMar>
            <w:vAlign w:val="center"/>
          </w:tcPr>
          <w:p>
            <w:pPr>
              <w:spacing w:after="0" w:line="240" w:lineRule="auto"/>
            </w:pPr>
            <w:r>
              <w:rPr>
                <w:sz w:val="15"/>
              </w:rPr>
              <w:t>Hierarchy discovery</w:t>
            </w:r>
          </w:p>
        </w:tc>
        <w:tc>
          <w:tcPr>
            <w:tcW w:type="dxa" w:w="4320"/>
            <w:tcMar>
              <w:top w:w="90" w:type="dxa"/>
              <w:start w:w="110" w:type="dxa"/>
              <w:bottom w:w="90" w:type="dxa"/>
              <w:end w:w="110" w:type="dxa"/>
            </w:tcMar>
            <w:vAlign w:val="center"/>
          </w:tcPr>
          <w:p>
            <w:pPr>
              <w:spacing w:after="0" w:line="240" w:lineRule="auto"/>
            </w:pPr>
            <w:r>
              <w:rPr>
                <w:sz w:val="15"/>
              </w:rPr>
              <w:t>keyed_rows or marker_rows grouping plus source_rows driver</w:t>
            </w:r>
          </w:p>
        </w:tc>
        <w:tc>
          <w:tcPr>
            <w:tcW w:type="dxa" w:w="4248"/>
            <w:tcMar>
              <w:top w:w="90" w:type="dxa"/>
              <w:start w:w="110" w:type="dxa"/>
              <w:bottom w:w="90" w:type="dxa"/>
              <w:end w:w="110" w:type="dxa"/>
            </w:tcMar>
            <w:vAlign w:val="center"/>
          </w:tcPr>
          <w:p>
            <w:pPr>
              <w:spacing w:after="0" w:line="240" w:lineRule="auto"/>
            </w:pPr>
            <w:r>
              <w:rPr>
                <w:sz w:val="15"/>
              </w:rPr>
              <w:t>BindingClass recursion and repeated XML contexts</w:t>
            </w:r>
          </w:p>
        </w:tc>
      </w:tr>
      <w:tr>
        <w:tc>
          <w:tcPr>
            <w:tcW w:type="dxa" w:w="1800"/>
            <w:tcMar>
              <w:top w:w="90" w:type="dxa"/>
              <w:start w:w="110" w:type="dxa"/>
              <w:bottom w:w="90" w:type="dxa"/>
              <w:end w:w="110" w:type="dxa"/>
            </w:tcMar>
            <w:vAlign w:val="center"/>
          </w:tcPr>
          <w:p>
            <w:pPr>
              <w:spacing w:after="0" w:line="240" w:lineRule="auto"/>
            </w:pPr>
            <w:r>
              <w:rPr>
                <w:sz w:val="15"/>
              </w:rPr>
              <w:t>Occurrence identity</w:t>
            </w:r>
          </w:p>
        </w:tc>
        <w:tc>
          <w:tcPr>
            <w:tcW w:type="dxa" w:w="4320"/>
            <w:tcMar>
              <w:top w:w="90" w:type="dxa"/>
              <w:start w:w="110" w:type="dxa"/>
              <w:bottom w:w="90" w:type="dxa"/>
              <w:end w:w="110" w:type="dxa"/>
            </w:tcMar>
            <w:vAlign w:val="center"/>
          </w:tcPr>
          <w:p>
            <w:pPr>
              <w:spacing w:after="0" w:line="240" w:lineRule="auto"/>
            </w:pPr>
            <w:r>
              <w:rPr>
                <w:sz w:val="15"/>
              </w:rPr>
              <w:t>entry_key, source_row and selector-derived occurrence</w:t>
            </w:r>
          </w:p>
        </w:tc>
        <w:tc>
          <w:tcPr>
            <w:tcW w:type="dxa" w:w="4248"/>
            <w:tcMar>
              <w:top w:w="90" w:type="dxa"/>
              <w:start w:w="110" w:type="dxa"/>
              <w:bottom w:w="90" w:type="dxa"/>
              <w:end w:w="110" w:type="dxa"/>
            </w:tcMar>
            <w:vAlign w:val="center"/>
          </w:tcPr>
          <w:p>
            <w:pPr>
              <w:spacing w:after="0" w:line="240" w:lineRule="auto"/>
            </w:pPr>
            <w:r>
              <w:rPr>
                <w:sz w:val="15"/>
              </w:rPr>
              <w:t>Dimension column and one-based XML-context ordinal</w:t>
            </w:r>
          </w:p>
        </w:tc>
      </w:tr>
      <w:tr>
        <w:tc>
          <w:tcPr>
            <w:tcW w:type="dxa" w:w="1800"/>
            <w:tcMar>
              <w:top w:w="90" w:type="dxa"/>
              <w:start w:w="110" w:type="dxa"/>
              <w:bottom w:w="90" w:type="dxa"/>
              <w:end w:w="110" w:type="dxa"/>
            </w:tcMar>
            <w:vAlign w:val="center"/>
          </w:tcPr>
          <w:p>
            <w:pPr>
              <w:spacing w:after="0" w:line="240" w:lineRule="auto"/>
            </w:pPr>
            <w:r>
              <w:rPr>
                <w:sz w:val="15"/>
              </w:rPr>
              <w:t>Forward value container</w:t>
            </w:r>
          </w:p>
        </w:tc>
        <w:tc>
          <w:tcPr>
            <w:tcW w:type="dxa" w:w="4320"/>
            <w:tcMar>
              <w:top w:w="90" w:type="dxa"/>
              <w:start w:w="110" w:type="dxa"/>
              <w:bottom w:w="90" w:type="dxa"/>
              <w:end w:w="110" w:type="dxa"/>
            </w:tcMar>
            <w:vAlign w:val="center"/>
          </w:tcPr>
          <w:p>
            <w:pPr>
              <w:spacing w:after="0" w:line="240" w:lineRule="auto"/>
            </w:pPr>
            <w:r>
              <w:rPr>
                <w:sz w:val="15"/>
              </w:rPr>
              <w:t>records dictionaries with explicit identity fields</w:t>
            </w:r>
          </w:p>
        </w:tc>
        <w:tc>
          <w:tcPr>
            <w:tcW w:type="dxa" w:w="4248"/>
            <w:tcMar>
              <w:top w:w="90" w:type="dxa"/>
              <w:start w:w="110" w:type="dxa"/>
              <w:bottom w:w="90" w:type="dxa"/>
              <w:end w:w="110" w:type="dxa"/>
            </w:tcMar>
            <w:vAlign w:val="center"/>
          </w:tcPr>
          <w:p>
            <w:pPr>
              <w:spacing w:after="0" w:line="240" w:lineRule="auto"/>
            </w:pPr>
            <w:r>
              <w:rPr>
                <w:sz w:val="15"/>
              </w:rPr>
              <w:t>rows dictionaries scoped by dimension columns</w:t>
            </w:r>
          </w:p>
        </w:tc>
      </w:tr>
      <w:tr>
        <w:tc>
          <w:tcPr>
            <w:tcW w:type="dxa" w:w="1800"/>
            <w:tcMar>
              <w:top w:w="90" w:type="dxa"/>
              <w:start w:w="110" w:type="dxa"/>
              <w:bottom w:w="90" w:type="dxa"/>
              <w:end w:w="110" w:type="dxa"/>
            </w:tcMar>
            <w:vAlign w:val="center"/>
          </w:tcPr>
          <w:p>
            <w:pPr>
              <w:spacing w:after="0" w:line="240" w:lineRule="auto"/>
            </w:pPr>
            <w:r>
              <w:rPr>
                <w:sz w:val="15"/>
              </w:rPr>
              <w:t>Reverse physical builder</w:t>
            </w:r>
          </w:p>
        </w:tc>
        <w:tc>
          <w:tcPr>
            <w:tcW w:type="dxa" w:w="4320"/>
            <w:tcMar>
              <w:top w:w="90" w:type="dxa"/>
              <w:start w:w="110" w:type="dxa"/>
              <w:bottom w:w="90" w:type="dxa"/>
              <w:end w:w="110" w:type="dxa"/>
            </w:tcMar>
            <w:vAlign w:val="center"/>
          </w:tcPr>
          <w:p>
            <w:pPr>
              <w:spacing w:after="0" w:line="240" w:lineRule="auto"/>
            </w:pPr>
            <w:r>
              <w:rPr>
                <w:sz w:val="15"/>
              </w:rPr>
              <w:t>Fixed-width list[str] per (entry_key, source_row)</w:t>
            </w:r>
          </w:p>
        </w:tc>
        <w:tc>
          <w:tcPr>
            <w:tcW w:type="dxa" w:w="4248"/>
            <w:tcMar>
              <w:top w:w="90" w:type="dxa"/>
              <w:start w:w="110" w:type="dxa"/>
              <w:bottom w:w="90" w:type="dxa"/>
              <w:end w:w="110" w:type="dxa"/>
            </w:tcMar>
            <w:vAlign w:val="center"/>
          </w:tcPr>
          <w:p>
            <w:pPr>
              <w:spacing w:after="0" w:line="240" w:lineRule="auto"/>
            </w:pPr>
            <w:r>
              <w:rPr>
                <w:sz w:val="15"/>
              </w:rPr>
              <w:t>Element tree and (dimension, ordinal) context registry</w:t>
            </w:r>
          </w:p>
        </w:tc>
      </w:tr>
      <w:tr>
        <w:tc>
          <w:tcPr>
            <w:tcW w:type="dxa" w:w="1800"/>
            <w:tcMar>
              <w:top w:w="90" w:type="dxa"/>
              <w:start w:w="110" w:type="dxa"/>
              <w:bottom w:w="90" w:type="dxa"/>
              <w:end w:w="110" w:type="dxa"/>
            </w:tcMar>
            <w:vAlign w:val="center"/>
          </w:tcPr>
          <w:p>
            <w:pPr>
              <w:spacing w:after="0" w:line="240" w:lineRule="auto"/>
            </w:pPr>
            <w:r>
              <w:rPr>
                <w:sz w:val="15"/>
              </w:rPr>
              <w:t>Physical output order</w:t>
            </w:r>
          </w:p>
        </w:tc>
        <w:tc>
          <w:tcPr>
            <w:tcW w:type="dxa" w:w="4320"/>
            <w:tcMar>
              <w:top w:w="90" w:type="dxa"/>
              <w:start w:w="110" w:type="dxa"/>
              <w:bottom w:w="90" w:type="dxa"/>
              <w:end w:w="110" w:type="dxa"/>
            </w:tcMar>
            <w:vAlign w:val="center"/>
          </w:tcPr>
          <w:p>
            <w:pPr>
              <w:spacing w:after="0" w:line="240" w:lineRule="auto"/>
            </w:pPr>
            <w:r>
              <w:rPr>
                <w:sz w:val="15"/>
              </w:rPr>
              <w:t>Source-row/variant order and physical column index</w:t>
            </w:r>
          </w:p>
        </w:tc>
        <w:tc>
          <w:tcPr>
            <w:tcW w:type="dxa" w:w="4248"/>
            <w:tcMar>
              <w:top w:w="90" w:type="dxa"/>
              <w:start w:w="110" w:type="dxa"/>
              <w:bottom w:w="90" w:type="dxa"/>
              <w:end w:w="110" w:type="dxa"/>
            </w:tcMar>
            <w:vAlign w:val="center"/>
          </w:tcPr>
          <w:p>
            <w:pPr>
              <w:spacing w:after="0" w:line="240" w:lineRule="auto"/>
            </w:pPr>
            <w:r>
              <w:rPr>
                <w:sz w:val="15"/>
              </w:rPr>
              <w:t>syntax_sequence then UBL XSD child order</w:t>
            </w:r>
          </w:p>
        </w:tc>
      </w:tr>
    </w:tbl>
    <w:p>
      <w:pPr>
        <w:spacing w:after="0"/>
      </w:pPr>
    </w:p>
    <w:p>
      <w:pPr>
        <w:pStyle w:val="10"/>
      </w:pPr>
      <w:r>
        <w:t>14 Condition and Decision Rules</w:t>
      </w:r>
    </w:p>
    <w:p>
      <w:pPr>
        <w:keepNext/>
      </w:pPr>
      <w:r>
        <w:t>Table 14 summarizes flat csv occurrence and decision rules. The entries provide the implementation evidence used by the surrounding specification text.</w:t>
      </w:r>
    </w:p>
    <w:p>
      <w:pPr>
        <w:pStyle w:val="af2"/>
        <w:keepNext/>
        <w:jc w:val="center"/>
      </w:pPr>
      <w:r>
        <w:t>Table 14 — Flat CSV occurrence and decision rules</w:t>
      </w:r>
    </w:p>
    <w:tbl>
      <w:tblPr>
        <w:tblStyle w:val="af7"/>
        <w:tblW w:type="dxa" w:w="10367"/>
        <w:jc w:val="center"/>
        <w:tblLayout w:type="fixed"/>
        <w:tblLook w:firstColumn="1" w:firstRow="1" w:lastColumn="0" w:lastRow="0" w:noHBand="0" w:noVBand="1" w:val="04A0"/>
      </w:tblPr>
      <w:tblGrid>
        <w:gridCol w:w="3096"/>
        <w:gridCol w:w="7272"/>
      </w:tblGrid>
      <w:tr>
        <w:trPr>
          <w:tblHeader w:val="true"/>
        </w:trPr>
        <w:tc>
          <w:tcPr>
            <w:tcW w:type="dxa" w:w="3096"/>
            <w:shd w:fill="F2F2F2"/>
            <w:tcMar>
              <w:top w:w="90" w:type="dxa"/>
              <w:start w:w="110" w:type="dxa"/>
              <w:bottom w:w="90" w:type="dxa"/>
              <w:end w:w="110" w:type="dxa"/>
            </w:tcMar>
            <w:vAlign w:val="center"/>
          </w:tcPr>
          <w:p>
            <w:r>
              <w:t>Rule</w:t>
            </w:r>
          </w:p>
        </w:tc>
        <w:tc>
          <w:tcPr>
            <w:tcW w:type="dxa" w:w="7272"/>
            <w:shd w:fill="F2F2F2"/>
            <w:tcMar>
              <w:top w:w="90" w:type="dxa"/>
              <w:start w:w="110" w:type="dxa"/>
              <w:bottom w:w="90" w:type="dxa"/>
              <w:end w:w="110" w:type="dxa"/>
            </w:tcMar>
            <w:vAlign w:val="center"/>
          </w:tcPr>
          <w:p>
            <w:r>
              <w:t>Current behaviour</w:t>
            </w:r>
          </w:p>
        </w:tc>
      </w:tr>
      <w:tr>
        <w:tc>
          <w:tcPr>
            <w:tcW w:type="dxa" w:w="3096"/>
          </w:tcPr>
          <w:p>
            <w:r>
              <w:t>Binding acceptance</w:t>
            </w:r>
          </w:p>
        </w:tc>
        <w:tc>
          <w:tcPr>
            <w:tcW w:type="dxa" w:w="7272"/>
          </w:tcPr>
          <w:p>
            <w:r>
              <w:t>Only the exact 17-column header is accepted; 13-column input receives UNSUPPORTED_LEGACY_BINDING and all other mismatches receive BINDING_HEADER_INVALID</w:t>
            </w:r>
          </w:p>
        </w:tc>
      </w:tr>
      <w:tr>
        <w:tc>
          <w:tcPr>
            <w:tcW w:type="dxa" w:w="3096"/>
          </w:tcPr>
          <w:p>
            <w:r>
              <w:t>keyed_rows identity</w:t>
            </w:r>
          </w:p>
        </w:tc>
        <w:tc>
          <w:tcPr>
            <w:tcW w:type="dxa" w:w="7272"/>
          </w:tcPr>
          <w:p>
            <w:r>
              <w:t>Compact JSON array of configured non-empty key values; repeated keys reuse the first group</w:t>
            </w:r>
          </w:p>
        </w:tc>
      </w:tr>
      <w:tr>
        <w:tc>
          <w:tcPr>
            <w:tcW w:type="dxa" w:w="3096"/>
          </w:tcPr>
          <w:p>
            <w:r>
              <w:t>marker_rows identity</w:t>
            </w:r>
          </w:p>
        </w:tc>
        <w:tc>
          <w:tcPr>
            <w:tcW w:type="dxa" w:w="7272"/>
          </w:tcPr>
          <w:p>
            <w:r>
              <w:t>Validated state-machine group ordinal</w:t>
            </w:r>
          </w:p>
        </w:tc>
      </w:tr>
      <w:tr>
        <w:tc>
          <w:tcPr>
            <w:tcW w:type="dxa" w:w="3096"/>
          </w:tcPr>
          <w:p>
            <w:r>
              <w:t>source_rows occurrence</w:t>
            </w:r>
          </w:p>
        </w:tc>
        <w:tc>
          <w:tcPr>
            <w:tcW w:type="dxa" w:w="7272"/>
          </w:tcPr>
          <w:p>
            <w:r>
              <w:t>Each physical row combines with each present selector-derived variant</w:t>
            </w:r>
          </w:p>
        </w:tc>
      </w:tr>
      <w:tr>
        <w:tc>
          <w:tcPr>
            <w:tcW w:type="dxa" w:w="3096"/>
          </w:tcPr>
          <w:p>
            <w:r>
              <w:t>Required value</w:t>
            </w:r>
          </w:p>
        </w:tc>
        <w:tc>
          <w:tcPr>
            <w:tcW w:type="dxa" w:w="7272"/>
          </w:tcPr>
          <w:p>
            <w:r>
              <w:t>Required Attribute values are checked during forward conversion</w:t>
            </w:r>
          </w:p>
        </w:tc>
      </w:tr>
      <w:tr>
        <w:tc>
          <w:tcPr>
            <w:tcW w:type="dxa" w:w="3096"/>
          </w:tcPr>
          <w:p>
            <w:r>
              <w:t>Default and presence</w:t>
            </w:r>
          </w:p>
        </w:tc>
        <w:tc>
          <w:tcPr>
            <w:tcW w:type="dxa" w:w="7272"/>
          </w:tcPr>
          <w:p>
            <w:r>
              <w:t>Defaults apply only when no column is bound; presence and optional-Class suppression prevent absent structures</w:t>
            </w:r>
          </w:p>
        </w:tc>
      </w:tr>
      <w:tr>
        <w:tc>
          <w:tcPr>
            <w:tcW w:type="dxa" w:w="3096"/>
          </w:tcPr>
          <w:p>
            <w:r>
              <w:t>max_occurs</w:t>
            </w:r>
          </w:p>
        </w:tc>
        <w:tc>
          <w:tcPr>
            <w:tcW w:type="dxa" w:w="7272"/>
          </w:tcPr>
          <w:p>
            <w:r>
              <w:t>Enforced for header group count and source rows per group when declared</w:t>
            </w:r>
          </w:p>
        </w:tc>
      </w:tr>
      <w:tr>
        <w:tc>
          <w:tcPr>
            <w:tcW w:type="dxa" w:w="3096"/>
          </w:tcPr>
          <w:p>
            <w:r>
              <w:t>Reverse shared conflict</w:t>
            </w:r>
          </w:p>
        </w:tc>
        <w:tc>
          <w:tcPr>
            <w:tcW w:type="dxa" w:w="7272"/>
          </w:tcPr>
          <w:p>
            <w:r>
              <w:t>Later non-empty value wins; aggregate column count only</w:t>
            </w:r>
          </w:p>
        </w:tc>
      </w:tr>
      <w:tr>
        <w:tc>
          <w:tcPr>
            <w:tcW w:type="dxa" w:w="3096"/>
          </w:tcPr>
          <w:p>
            <w:r>
              <w:t>Transformation</w:t>
            </w:r>
          </w:p>
        </w:tc>
        <w:tc>
          <w:tcPr>
            <w:tcW w:type="dxa" w:w="7272"/>
          </w:tcPr>
          <w:p>
            <w:r>
              <w:t>Only empty and jp_era_date_to_iso are accepted</w:t>
            </w:r>
          </w:p>
        </w:tc>
      </w:tr>
    </w:tbl>
    <w:p>
      <w:pPr>
        <w:spacing w:after="0"/>
      </w:pPr>
    </w:p>
    <w:p>
      <w:pPr>
        <w:pStyle w:val="10"/>
      </w:pPr>
      <w:r>
        <w:t>15 Data Structure Construction</w:t>
      </w:r>
    </w:p>
    <w:p>
      <w:pPr>
        <w:keepNext/>
      </w:pPr>
      <w:r/>
      <w:r>
        <w:t>Figure 5 illustrates canonical detail occurrence identity. The numbered figure is referenced here as part of the implementation-level processing description.</w:t>
      </w:r>
    </w:p>
    <w:p>
      <w:pPr>
        <w:keepNext/>
        <w:jc w:val="center"/>
      </w:pPr>
      <w:r>
        <w:drawing>
          <wp:inline xmlns:a="http://schemas.openxmlformats.org/drawingml/2006/main" xmlns:pic="http://schemas.openxmlformats.org/drawingml/2006/picture">
            <wp:extent cx="5805714" cy="4071257"/>
            <wp:docPr id="7" name="Picture 7" descr="Figure 7 — Canonical detail occurrence identity"/>
            <wp:cNvGraphicFramePr>
              <a:graphicFrameLocks noChangeAspect="1"/>
            </wp:cNvGraphicFramePr>
            <a:graphic>
              <a:graphicData uri="http://schemas.openxmlformats.org/drawingml/2006/picture">
                <pic:pic>
                  <pic:nvPicPr>
                    <pic:cNvPr id="0" name="flat_identity.png"/>
                    <pic:cNvPicPr/>
                  </pic:nvPicPr>
                  <pic:blipFill>
                    <a:blip r:embed="rId33"/>
                    <a:stretch>
                      <a:fillRect/>
                    </a:stretch>
                  </pic:blipFill>
                  <pic:spPr>
                    <a:xfrm>
                      <a:off x="0" y="0"/>
                      <a:ext cx="5805714" cy="4071257"/>
                    </a:xfrm>
                    <a:prstGeom prst="rect"/>
                  </pic:spPr>
                </pic:pic>
              </a:graphicData>
            </a:graphic>
          </wp:inline>
        </w:drawing>
      </w:r>
    </w:p>
    <w:p>
      <w:pPr>
        <w:pStyle w:val="af2"/>
        <w:jc w:val="center"/>
      </w:pPr>
      <w:r/>
      <w:r>
        <w:t>Figure 5 — Canonical detail occurrence identity</w:t>
      </w:r>
    </w:p>
    <w:p>
      <w:pPr>
        <w:pStyle w:val="20"/>
      </w:pPr>
      <w:r>
        <w:t>15.1 keyed_rows occurrence handling - current</w:t>
      </w:r>
    </w:p>
    <w:p>
      <w:r>
        <w:t>The effective header identity is the compact JSON serialization of the configured ColumnN values. Every key component must be non-empty. Python dictionary insertion order preserves first-key appearance, and later non-contiguous rows with the same key append to the existing group. Detail identity extends the header key with the original 1-based source-row ordinal and selector-derived variant.</w:t>
      </w:r>
    </w:p>
    <w:p>
      <w:pPr>
        <w:pStyle w:val="20"/>
      </w:pPr>
      <w:r>
        <w:t>15.2 marker_rows/source_rows handling - current</w:t>
      </w:r>
    </w:p>
    <w:p>
      <w:r>
        <w:t>Marker groups are recognized by four distinct Binding-defined codes. source_rows creates a detail driver per physical row, while selector variants create sibling occurrences such as debit and credit. row_role=presence can suppress a variant. Reverse reconstructs marker codes from the number and position of rows in each entry group.</w:t>
      </w:r>
    </w:p>
    <w:p>
      <w:pPr>
        <w:pStyle w:val="20"/>
      </w:pPr>
      <w:r>
        <w:t>15.3 fixed_columns handling - recommended enhancement only</w:t>
      </w:r>
    </w:p>
    <w:p>
      <w:pPr>
        <w:spacing w:before="60" w:after="120"/>
      </w:pPr>
      <w:r>
        <w:rPr>
          <w:b/>
        </w:rPr>
      </w:r>
      <w:r/>
      <w:r>
        <w:t>fixed_columns is not a supported occurrence_mode. max_occurs is nevertheless active for the supported header group and source_rows driver: excess groups or excess source rows in a group raise MAX_OCCURS_EXCEEDED.</w:t>
      </w:r>
    </w:p>
    <w:p>
      <w:pPr>
        <w:keepNext/>
      </w:pPr>
      <w:r/>
      <w:r>
        <w:t>Figure 6 illustrates recommended fixed_columns occurrence construction (not implemented). The numbered figure is referenced here as part of the implementation-level processing description.</w:t>
      </w:r>
    </w:p>
    <w:p>
      <w:pPr>
        <w:keepNext/>
        <w:jc w:val="center"/>
      </w:pPr>
      <w:r>
        <w:drawing>
          <wp:inline xmlns:a="http://schemas.openxmlformats.org/drawingml/2006/main" xmlns:pic="http://schemas.openxmlformats.org/drawingml/2006/picture">
            <wp:extent cx="5805714" cy="4760685"/>
            <wp:docPr id="8" name="Picture 8" descr="Figure 8 — Recommended fixed_columns occurrence construction (not implemented)"/>
            <wp:cNvGraphicFramePr>
              <a:graphicFrameLocks noChangeAspect="1"/>
            </wp:cNvGraphicFramePr>
            <a:graphic>
              <a:graphicData uri="http://schemas.openxmlformats.org/drawingml/2006/picture">
                <pic:pic>
                  <pic:nvPicPr>
                    <pic:cNvPr id="0" name="flat_fixed_columns.png"/>
                    <pic:cNvPicPr/>
                  </pic:nvPicPr>
                  <pic:blipFill>
                    <a:blip r:embed="rId34"/>
                    <a:stretch>
                      <a:fillRect/>
                    </a:stretch>
                  </pic:blipFill>
                  <pic:spPr>
                    <a:xfrm>
                      <a:off x="0" y="0"/>
                      <a:ext cx="5805714" cy="4760685"/>
                    </a:xfrm>
                    <a:prstGeom prst="rect"/>
                  </pic:spPr>
                </pic:pic>
              </a:graphicData>
            </a:graphic>
          </wp:inline>
        </w:drawing>
      </w:r>
    </w:p>
    <w:p>
      <w:pPr>
        <w:pStyle w:val="af2"/>
        <w:jc w:val="center"/>
      </w:pPr>
      <w:r/>
      <w:r>
        <w:t>Figure 6 — Recommended fixed_columns occurrence construction (not implemented)</w:t>
      </w:r>
    </w:p>
    <w:tbl>
      <w:tblPr>
        <w:tblStyle w:val="af7"/>
        <w:tblW w:type="dxa" w:w="9720"/>
        <w:jc w:val="center"/>
        <w:tblLayout w:type="fixed"/>
        <w:tblLook w:firstColumn="1" w:firstRow="1" w:lastColumn="0" w:lastRow="0" w:noHBand="0" w:noVBand="1" w:val="04A0"/>
      </w:tblPr>
      <w:tblGrid>
        <w:gridCol w:w="9720"/>
      </w:tblGrid>
      <w:tr>
        <w:tc>
          <w:tcPr>
            <w:tcW w:type="dxa" w:w="9720"/>
            <w:tcMar>
              <w:top w:w="90" w:type="dxa"/>
              <w:start w:w="110" w:type="dxa"/>
              <w:bottom w:w="90" w:type="dxa"/>
              <w:end w:w="110" w:type="dxa"/>
            </w:tcMar>
            <w:vAlign w:val="center"/>
          </w:tcPr>
          <w:p>
            <w:pPr>
              <w:keepLines/>
              <w:spacing w:after="0"/>
            </w:pPr>
            <w:r>
              <w:rPr>
                <w:rFonts w:ascii="Consolas" w:hAnsi="Consolas"/>
                <w:sz w:val="17"/>
              </w:rPr>
              <w:t>RECOMMENDED ONLY:</w:t>
              <w:br/>
              <w:t>for each Class row with occurrence_mode == 'fixed_columns':</w:t>
              <w:br/>
              <w:t xml:space="preserve">    validate integer max_occurs &gt; 0</w:t>
              <w:br/>
              <w:t xml:space="preserve">    for each descendant Attribute mapping:</w:t>
              <w:br/>
              <w:t xml:space="preserve">        parse [n] on the repeated Class segment</w:t>
              <w:br/>
              <w:t xml:space="preserve">        require 1 &lt;= n &lt;= max_occurs</w:t>
              <w:br/>
              <w:t xml:space="preserve">        neutral_path = path with selectors removed</w:t>
              <w:br/>
              <w:t xml:space="preserve">        identity = (parent_effective_key, neutral_class_path, n)</w:t>
              <w:br/>
              <w:t xml:space="preserve">    create/reuse identity only when a mapped source value (or permitted default) is present</w:t>
              <w:br/>
              <w:t xml:space="preserve">    persist n so reverse maps facts back to the same horizontal column group</w:t>
            </w:r>
          </w:p>
        </w:tc>
      </w:tr>
    </w:tbl>
    <w:p>
      <w:pPr>
        <w:spacing w:after="0"/>
      </w:pPr>
    </w:p>
    <w:p>
      <w:pPr>
        <w:pStyle w:val="10"/>
      </w:pPr>
      <w:r>
        <w:t>16 Diagnostics and Error Handling</w:t>
      </w:r>
    </w:p>
    <w:p>
      <w:pPr>
        <w:keepNext/>
      </w:pPr>
      <w:r>
        <w:t>Table 15 summarizes flat csv diagnostics and publication consequences. The entries provide the implementation evidence used by the surrounding specification text.</w:t>
      </w:r>
    </w:p>
    <w:p>
      <w:pPr>
        <w:pStyle w:val="af2"/>
        <w:keepNext/>
        <w:jc w:val="center"/>
      </w:pPr>
      <w:r>
        <w:t>Table 15 — Flat CSV diagnostics and publication consequences</w:t>
      </w:r>
    </w:p>
    <w:tbl>
      <w:tblPr>
        <w:tblStyle w:val="af7"/>
        <w:tblW w:type="dxa" w:w="10368"/>
        <w:jc w:val="center"/>
        <w:tblLayout w:type="fixed"/>
        <w:tblLook w:firstColumn="1" w:firstRow="1" w:lastColumn="0" w:lastRow="0" w:noHBand="0" w:noVBand="1" w:val="04A0"/>
      </w:tblPr>
      <w:tblGrid>
        <w:gridCol w:w="3311"/>
        <w:gridCol w:w="3528"/>
        <w:gridCol w:w="3528"/>
      </w:tblGrid>
      <w:tr>
        <w:trPr>
          <w:tblHeader w:val="true"/>
        </w:trPr>
        <w:tc>
          <w:tcPr>
            <w:tcW w:type="dxa" w:w="3311"/>
            <w:shd w:fill="F2F2F2"/>
            <w:tcMar>
              <w:top w:w="90" w:type="dxa"/>
              <w:start w:w="110" w:type="dxa"/>
              <w:bottom w:w="90" w:type="dxa"/>
              <w:end w:w="110" w:type="dxa"/>
            </w:tcMar>
            <w:vAlign w:val="center"/>
          </w:tcPr>
          <w:p>
            <w:r>
              <w:t>Condition</w:t>
            </w:r>
          </w:p>
        </w:tc>
        <w:tc>
          <w:tcPr>
            <w:tcW w:type="dxa" w:w="3528"/>
            <w:shd w:fill="F2F2F2"/>
            <w:tcMar>
              <w:top w:w="90" w:type="dxa"/>
              <w:start w:w="110" w:type="dxa"/>
              <w:bottom w:w="90" w:type="dxa"/>
              <w:end w:w="110" w:type="dxa"/>
            </w:tcMar>
            <w:vAlign w:val="center"/>
          </w:tcPr>
          <w:p>
            <w:r>
              <w:t>Current mechanism</w:t>
            </w:r>
          </w:p>
        </w:tc>
        <w:tc>
          <w:tcPr>
            <w:tcW w:type="dxa" w:w="3528"/>
            <w:shd w:fill="F2F2F2"/>
            <w:tcMar>
              <w:top w:w="90" w:type="dxa"/>
              <w:start w:w="110" w:type="dxa"/>
              <w:bottom w:w="90" w:type="dxa"/>
              <w:end w:w="110" w:type="dxa"/>
            </w:tcMar>
            <w:vAlign w:val="center"/>
          </w:tcPr>
          <w:p>
            <w:r>
              <w:t>Exit/publication consequence</w:t>
            </w:r>
          </w:p>
        </w:tc>
      </w:tr>
      <w:tr>
        <w:tc>
          <w:tcPr>
            <w:tcW w:type="dxa" w:w="3311"/>
          </w:tcPr>
          <w:p>
            <w:r>
              <w:t>Binding or HMD I/O/encoding</w:t>
            </w:r>
          </w:p>
        </w:tc>
        <w:tc>
          <w:tcPr>
            <w:tcW w:type="dxa" w:w="3528"/>
          </w:tcPr>
          <w:p>
            <w:r>
              <w:t>ConversionError with value-safe definition message</w:t>
            </w:r>
          </w:p>
        </w:tc>
        <w:tc>
          <w:tcPr>
            <w:tcW w:type="dxa" w:w="3528"/>
          </w:tcPr>
          <w:p>
            <w:r>
              <w:t>main returns 2</w:t>
            </w:r>
          </w:p>
        </w:tc>
      </w:tr>
      <w:tr>
        <w:tc>
          <w:tcPr>
            <w:tcW w:type="dxa" w:w="3311"/>
          </w:tcPr>
          <w:p>
            <w:r>
              <w:t>Binding header mismatch</w:t>
            </w:r>
          </w:p>
        </w:tc>
        <w:tc>
          <w:tcPr>
            <w:tcW w:type="dxa" w:w="3528"/>
          </w:tcPr>
          <w:p>
            <w:r>
              <w:t>UNSUPPORTED_LEGACY_BINDING or BINDING_HEADER_INVALID</w:t>
            </w:r>
          </w:p>
        </w:tc>
        <w:tc>
          <w:tcPr>
            <w:tcW w:type="dxa" w:w="3528"/>
          </w:tcPr>
          <w:p>
            <w:r>
              <w:t>No conversion output; main returns 2</w:t>
            </w:r>
          </w:p>
        </w:tc>
      </w:tr>
      <w:tr>
        <w:tc>
          <w:tcPr>
            <w:tcW w:type="dxa" w:w="3311"/>
          </w:tcPr>
          <w:p>
            <w:r>
              <w:t>Definition/path/group/driver/limit validation</w:t>
            </w:r>
          </w:p>
        </w:tc>
        <w:tc>
          <w:tcPr>
            <w:tcW w:type="dxa" w:w="3528"/>
          </w:tcPr>
          <w:p>
            <w:r>
              <w:t>Classified ConversionError</w:t>
            </w:r>
          </w:p>
        </w:tc>
        <w:tc>
          <w:tcPr>
            <w:tcW w:type="dxa" w:w="3528"/>
          </w:tcPr>
          <w:p>
            <w:r>
              <w:t>No conversion output; main returns 2</w:t>
            </w:r>
          </w:p>
        </w:tc>
      </w:tr>
      <w:tr>
        <w:tc>
          <w:tcPr>
            <w:tcW w:type="dxa" w:w="3311"/>
          </w:tcPr>
          <w:p>
            <w:r>
              <w:t>Malformed marker sequence</w:t>
            </w:r>
          </w:p>
        </w:tc>
        <w:tc>
          <w:tcPr>
            <w:tcW w:type="dxa" w:w="3528"/>
          </w:tcPr>
          <w:p>
            <w:r>
              <w:t>MARKER_* ConversionError without source values</w:t>
            </w:r>
          </w:p>
        </w:tc>
        <w:tc>
          <w:tcPr>
            <w:tcW w:type="dxa" w:w="3528"/>
          </w:tcPr>
          <w:p>
            <w:r>
              <w:t>No output write has started</w:t>
            </w:r>
          </w:p>
        </w:tc>
      </w:tr>
      <w:tr>
        <w:tc>
          <w:tcPr>
            <w:tcW w:type="dxa" w:w="3311"/>
          </w:tcPr>
          <w:p>
            <w:r>
              <w:t>Required value or transformation value</w:t>
            </w:r>
          </w:p>
        </w:tc>
        <w:tc>
          <w:tcPr>
            <w:tcW w:type="dxa" w:w="3528"/>
          </w:tcPr>
          <w:p>
            <w:r>
              <w:t>Classified ConversionError without source value</w:t>
            </w:r>
          </w:p>
        </w:tc>
        <w:tc>
          <w:tcPr>
            <w:tcW w:type="dxa" w:w="3528"/>
          </w:tcPr>
          <w:p>
            <w:r>
              <w:t>No output write has started</w:t>
            </w:r>
          </w:p>
        </w:tc>
      </w:tr>
      <w:tr>
        <w:tc>
          <w:tcPr>
            <w:tcW w:type="dxa" w:w="3311"/>
          </w:tcPr>
          <w:p>
            <w:r>
              <w:t>Structured mapping mismatch</w:t>
            </w:r>
          </w:p>
        </w:tc>
        <w:tc>
          <w:tcPr>
            <w:tcW w:type="dxa" w:w="3528"/>
          </w:tcPr>
          <w:p>
            <w:r>
              <w:t>STRUCTURED_* ConversionError</w:t>
            </w:r>
          </w:p>
        </w:tc>
        <w:tc>
          <w:tcPr>
            <w:tcW w:type="dxa" w:w="3528"/>
          </w:tcPr>
          <w:p>
            <w:r>
              <w:t>No Flat CSV write has started</w:t>
            </w:r>
          </w:p>
        </w:tc>
      </w:tr>
      <w:tr>
        <w:tc>
          <w:tcPr>
            <w:tcW w:type="dxa" w:w="3311"/>
          </w:tcPr>
          <w:p>
            <w:r>
              <w:t>Shared-column conflict</w:t>
            </w:r>
          </w:p>
        </w:tc>
        <w:tc>
          <w:tcPr>
            <w:tcW w:type="dxa" w:w="3528"/>
          </w:tcPr>
          <w:p>
            <w:r>
              <w:t>Counter increment; no exception</w:t>
            </w:r>
          </w:p>
        </w:tc>
        <w:tc>
          <w:tcPr>
            <w:tcW w:type="dxa" w:w="3528"/>
          </w:tcPr>
          <w:p>
            <w:r>
              <w:t>Later value written; count-only summary</w:t>
            </w:r>
          </w:p>
        </w:tc>
      </w:tr>
      <w:tr>
        <w:tc>
          <w:tcPr>
            <w:tcW w:type="dxa" w:w="3311"/>
          </w:tcPr>
          <w:p>
            <w:r>
              <w:t>Unexpected exception</w:t>
            </w:r>
          </w:p>
        </w:tc>
        <w:tc>
          <w:tcPr>
            <w:tcW w:type="dxa" w:w="3528"/>
          </w:tcPr>
          <w:p>
            <w:r>
              <w:t>INTERNAL_ERROR without details</w:t>
            </w:r>
          </w:p>
        </w:tc>
        <w:tc>
          <w:tcPr>
            <w:tcW w:type="dxa" w:w="3528"/>
          </w:tcPr>
          <w:p>
            <w:r>
              <w:t>main returns 3</w:t>
            </w:r>
          </w:p>
        </w:tc>
      </w:tr>
      <w:tr>
        <w:tc>
          <w:tcPr>
            <w:tcW w:type="dxa" w:w="3311"/>
          </w:tcPr>
          <w:p>
            <w:r>
              <w:t>Success</w:t>
            </w:r>
          </w:p>
        </w:tc>
        <w:tc>
          <w:tcPr>
            <w:tcW w:type="dxa" w:w="3528"/>
          </w:tcPr>
          <w:p>
            <w:r>
              <w:t>No required console payload</w:t>
            </w:r>
          </w:p>
        </w:tc>
        <w:tc>
          <w:tcPr>
            <w:tcW w:type="dxa" w:w="3528"/>
          </w:tcPr>
          <w:p>
            <w:r>
              <w:t>main returns 0</w:t>
            </w:r>
          </w:p>
        </w:tc>
      </w:tr>
    </w:tbl>
    <w:p>
      <w:pPr>
        <w:spacing w:after="0"/>
      </w:pPr>
    </w:p>
    <w:p>
      <w:pPr>
        <w:spacing w:before="60" w:after="120"/>
      </w:pPr>
      <w:r>
        <w:rPr>
          <w:b/>
        </w:rPr>
        <w:t xml:space="preserve">Not implemented: </w:t>
      </w:r>
      <w:r>
        <w:t>There are no stable diagnostic codes such as PATH_SELECTOR_VALUE_MISSING in the current program, no severity catalogue, no diagnostics collection object, and no structured failure report. Do not treat terminology in design documents as emitted runtime codes.</w:t>
      </w:r>
    </w:p>
    <w:p>
      <w:pPr>
        <w:pStyle w:val="10"/>
      </w:pPr>
      <w:r>
        <w:t>17 File Publication and Transaction Control</w:t>
      </w:r>
    </w:p>
    <w:p>
      <w:pPr>
        <w:spacing w:before="60" w:after="120"/>
      </w:pPr>
      <w:r>
        <w:rPr>
          <w:b/>
        </w:rPr>
      </w:r>
      <w:r/>
      <w:r>
        <w:t>Current behaviour: both directions construct their output records in memory and then write the requested final file directly. Optional summary JSON is written after the CSV. The converter does not implement temporary-file promotion, atomic multi-file publication, rollback, manifest creation or SHA-256 generation.</w:t>
      </w:r>
    </w:p>
    <w:p>
      <w:pPr>
        <w:spacing w:before="60" w:after="120"/>
      </w:pPr>
      <w:r>
        <w:rPr>
          <w:b/>
        </w:rPr>
        <w:t xml:space="preserve">Recommended enhancement: </w:t>
      </w:r>
      <w:r>
        <w:t>Validate all inputs and construct outputs before opening final targets; write output and summary to temporary siblings; validate counts/encoding; replace finals in a defined order; document recovery of a partially replaced pair. This recommendation is not current implementation.</w:t>
      </w:r>
    </w:p>
    <w:p>
      <w:pPr>
        <w:pStyle w:val="10"/>
      </w:pPr>
      <w:r>
        <w:t>18 Test and Requirement Traceability</w:t>
      </w:r>
    </w:p>
    <w:p>
      <w:pPr>
        <w:keepNext/>
      </w:pPr>
      <w:r>
        <w:t>Table 16 summarizes flat csv requirement and test traceability. The entries provide the implementation evidence used by the surrounding specification text.</w:t>
      </w:r>
    </w:p>
    <w:p>
      <w:pPr>
        <w:pStyle w:val="af2"/>
        <w:keepNext/>
        <w:jc w:val="center"/>
      </w:pPr>
      <w:r>
        <w:t>Table 16 — Flat CSV requirement and test traceability</w:t>
      </w:r>
    </w:p>
    <w:tbl>
      <w:tblPr>
        <w:tblStyle w:val="af7"/>
        <w:tblW w:type="dxa" w:w="10368"/>
        <w:jc w:val="center"/>
        <w:tblLayout w:type="fixed"/>
        <w:tblLook w:firstColumn="1" w:firstRow="1" w:lastColumn="0" w:lastRow="0" w:noHBand="0" w:noVBand="1" w:val="04A0"/>
      </w:tblPr>
      <w:tblGrid>
        <w:gridCol w:w="2520"/>
        <w:gridCol w:w="4104"/>
        <w:gridCol w:w="3744"/>
      </w:tblGrid>
      <w:tr>
        <w:trPr>
          <w:tblHeader w:val="true"/>
        </w:trPr>
        <w:tc>
          <w:tcPr>
            <w:tcW w:type="dxa" w:w="2520"/>
            <w:shd w:fill="F2F2F2"/>
            <w:tcMar>
              <w:top w:w="90" w:type="dxa"/>
              <w:start w:w="110" w:type="dxa"/>
              <w:bottom w:w="90" w:type="dxa"/>
              <w:end w:w="110" w:type="dxa"/>
            </w:tcMar>
            <w:vAlign w:val="center"/>
          </w:tcPr>
          <w:p>
            <w:r>
              <w:t>Requirement</w:t>
            </w:r>
          </w:p>
        </w:tc>
        <w:tc>
          <w:tcPr>
            <w:tcW w:type="dxa" w:w="4104"/>
            <w:shd w:fill="F2F2F2"/>
            <w:tcMar>
              <w:top w:w="90" w:type="dxa"/>
              <w:start w:w="110" w:type="dxa"/>
              <w:bottom w:w="90" w:type="dxa"/>
              <w:end w:w="110" w:type="dxa"/>
            </w:tcMar>
            <w:vAlign w:val="center"/>
          </w:tcPr>
          <w:p>
            <w:r>
              <w:t>Evidence</w:t>
            </w:r>
          </w:p>
        </w:tc>
        <w:tc>
          <w:tcPr>
            <w:tcW w:type="dxa" w:w="3744"/>
            <w:shd w:fill="F2F2F2"/>
            <w:tcMar>
              <w:top w:w="90" w:type="dxa"/>
              <w:start w:w="110" w:type="dxa"/>
              <w:bottom w:w="90" w:type="dxa"/>
              <w:end w:w="110" w:type="dxa"/>
            </w:tcMar>
            <w:vAlign w:val="center"/>
          </w:tcPr>
          <w:p>
            <w:r>
              <w:t>Recorded result</w:t>
            </w:r>
          </w:p>
        </w:tc>
      </w:tr>
      <w:tr>
        <w:tc>
          <w:tcPr>
            <w:tcW w:type="dxa" w:w="2520"/>
          </w:tcPr>
          <w:p>
            <w:r>
              <w:t>Syntax</w:t>
            </w:r>
          </w:p>
        </w:tc>
        <w:tc>
          <w:tcPr>
            <w:tcW w:type="dxa" w:w="4104"/>
          </w:tcPr>
          <w:p>
            <w:r>
              <w:t>python -m py_compile flat_csv.py</w:t>
            </w:r>
          </w:p>
        </w:tc>
        <w:tc>
          <w:tcPr>
            <w:tcW w:type="dxa" w:w="3744"/>
          </w:tcPr>
          <w:p>
            <w:r>
              <w:t>PASS</w:t>
            </w:r>
          </w:p>
        </w:tc>
      </w:tr>
      <w:tr>
        <w:tc>
          <w:tcPr>
            <w:tcW w:type="dxa" w:w="2520"/>
          </w:tcPr>
          <w:p>
            <w:r>
              <w:t>Definition and negative tests</w:t>
            </w:r>
          </w:p>
        </w:tc>
        <w:tc>
          <w:tcPr>
            <w:tcW w:type="dxa" w:w="4104"/>
          </w:tcPr>
          <w:p>
            <w:r>
              <w:t>pre-public-validation/programs/flat-csv/tests</w:t>
            </w:r>
          </w:p>
        </w:tc>
        <w:tc>
          <w:tcPr>
            <w:tcW w:type="dxa" w:w="3744"/>
          </w:tcPr>
          <w:p>
            <w:r>
              <w:t>PASS: 20</w:t>
            </w:r>
          </w:p>
        </w:tc>
      </w:tr>
      <w:tr>
        <w:tc>
          <w:tcPr>
            <w:tcW w:type="dxa" w:w="2520"/>
          </w:tcPr>
          <w:p>
            <w:r>
              <w:t>PCA synthetic 81-column</w:t>
            </w:r>
          </w:p>
        </w:tc>
        <w:tc>
          <w:tcPr>
            <w:tcW w:type="dxa" w:w="4104"/>
          </w:tcPr>
          <w:p>
            <w:r>
              <w:t>test_canonical_roundtrip.py</w:t>
            </w:r>
          </w:p>
        </w:tc>
        <w:tc>
          <w:tcPr>
            <w:tcW w:type="dxa" w:w="3744"/>
          </w:tcPr>
          <w:p>
            <w:r>
              <w:t>PASS: forward, reverse, byte-exact round trip and two-run determinism</w:t>
            </w:r>
          </w:p>
        </w:tc>
      </w:tr>
      <w:tr>
        <w:tc>
          <w:tcPr>
            <w:tcW w:type="dxa" w:w="2520"/>
          </w:tcPr>
          <w:p>
            <w:r>
              <w:t>Yayoi synthetic 25-column CP932</w:t>
            </w:r>
          </w:p>
        </w:tc>
        <w:tc>
          <w:tcPr>
            <w:tcW w:type="dxa" w:w="4104"/>
          </w:tcPr>
          <w:p>
            <w:r>
              <w:t>test_yayoi_25_roundtrip.py</w:t>
            </w:r>
          </w:p>
        </w:tc>
        <w:tc>
          <w:tcPr>
            <w:tcW w:type="dxa" w:w="3744"/>
          </w:tcPr>
          <w:p>
            <w:r>
              <w:t>PASS: marker, presence, date transform, round trip and determinism</w:t>
            </w:r>
          </w:p>
        </w:tc>
      </w:tr>
      <w:tr>
        <w:tc>
          <w:tcPr>
            <w:tcW w:type="dxa" w:w="2520"/>
          </w:tcPr>
          <w:p>
            <w:r>
              <w:t>Generic synthetic regression</w:t>
            </w:r>
          </w:p>
        </w:tc>
        <w:tc>
          <w:tcPr>
            <w:tcW w:type="dxa" w:w="4104"/>
          </w:tcPr>
          <w:p>
            <w:r>
              <w:t>test_generic_journal_entry_roundtrip.py</w:t>
            </w:r>
          </w:p>
        </w:tc>
        <w:tc>
          <w:tcPr>
            <w:tcW w:type="dxa" w:w="3744"/>
          </w:tcPr>
          <w:p>
            <w:r>
              <w:t>PASS: Binding-driven Column3 and LEFT/RIGHT variants</w:t>
            </w:r>
          </w:p>
        </w:tc>
      </w:tr>
      <w:tr>
        <w:tc>
          <w:tcPr>
            <w:tcW w:type="dxa" w:w="2520"/>
          </w:tcPr>
          <w:p>
            <w:r>
              <w:t>Shared-column conflict</w:t>
            </w:r>
          </w:p>
        </w:tc>
        <w:tc>
          <w:tcPr>
            <w:tcW w:type="dxa" w:w="4104"/>
          </w:tcPr>
          <w:p>
            <w:r>
              <w:t>PCA synthetic negative case</w:t>
            </w:r>
          </w:p>
        </w:tc>
        <w:tc>
          <w:tcPr>
            <w:tcW w:type="dxa" w:w="3744"/>
          </w:tcPr>
          <w:p>
            <w:r>
              <w:t>PASS: later non-empty value and Column27 count 1 without values</w:t>
            </w:r>
          </w:p>
        </w:tc>
      </w:tr>
      <w:tr>
        <w:tc>
          <w:tcPr>
            <w:tcW w:type="dxa" w:w="2520"/>
          </w:tcPr>
          <w:p>
            <w:r>
              <w:t>Invalid markers</w:t>
            </w:r>
          </w:p>
        </w:tc>
        <w:tc>
          <w:tcPr>
            <w:tcW w:type="dxa" w:w="4104"/>
          </w:tcPr>
          <w:p>
            <w:r>
              <w:t>definition/negative suite</w:t>
            </w:r>
          </w:p>
        </w:tc>
        <w:tc>
          <w:tcPr>
            <w:tcW w:type="dxa" w:w="3744"/>
          </w:tcPr>
          <w:p>
            <w:r>
              <w:t>PASS: unknown, orphan, nested and unclosed controls rejected</w:t>
            </w:r>
          </w:p>
        </w:tc>
      </w:tr>
      <w:tr>
        <w:tc>
          <w:tcPr>
            <w:tcW w:type="dxa" w:w="2520"/>
          </w:tcPr>
          <w:p>
            <w:r>
              <w:t>Binding rejection</w:t>
            </w:r>
          </w:p>
        </w:tc>
        <w:tc>
          <w:tcPr>
            <w:tcW w:type="dxa" w:w="4104"/>
          </w:tcPr>
          <w:p>
            <w:r>
              <w:t>definition/negative suite</w:t>
            </w:r>
          </w:p>
        </w:tc>
        <w:tc>
          <w:tcPr>
            <w:tcW w:type="dxa" w:w="3744"/>
          </w:tcPr>
          <w:p>
            <w:r>
              <w:t>PASS: missing/extra/reordered headers and 13-column Binding rejected</w:t>
            </w:r>
          </w:p>
        </w:tc>
      </w:tr>
      <w:tr>
        <w:tc>
          <w:tcPr>
            <w:tcW w:type="dxa" w:w="2520"/>
          </w:tcPr>
          <w:p>
            <w:r>
              <w:t>Real accounting data</w:t>
            </w:r>
          </w:p>
        </w:tc>
        <w:tc>
          <w:tcPr>
            <w:tcW w:type="dxa" w:w="4104"/>
          </w:tcPr>
          <w:p>
            <w:r>
              <w:t>scope control</w:t>
            </w:r>
          </w:p>
        </w:tc>
        <w:tc>
          <w:tcPr>
            <w:tcW w:type="dxa" w:w="3744"/>
          </w:tcPr>
          <w:p>
            <w:r>
              <w:t>NOT USED</w:t>
            </w:r>
          </w:p>
        </w:tc>
      </w:tr>
      <w:tr>
        <w:tc>
          <w:tcPr>
            <w:tcW w:type="dxa" w:w="2520"/>
          </w:tcPr>
          <w:p>
            <w:r>
              <w:t>Overall</w:t>
            </w:r>
          </w:p>
        </w:tc>
        <w:tc>
          <w:tcPr>
            <w:tcW w:type="dxa" w:w="4104"/>
          </w:tcPr>
          <w:p>
            <w:r>
              <w:t>23 tests plus syntax compile</w:t>
            </w:r>
          </w:p>
        </w:tc>
        <w:tc>
          <w:tcPr>
            <w:tcW w:type="dxa" w:w="3744"/>
          </w:tcPr>
          <w:p>
            <w:r>
              <w:t>PASS</w:t>
            </w:r>
          </w:p>
        </w:tc>
      </w:tr>
    </w:tbl>
    <w:p>
      <w:pPr>
        <w:spacing w:after="0"/>
      </w:pPr>
    </w:p>
    <w:p>
      <w:pPr>
        <w:pStyle w:val="10"/>
      </w:pPr>
      <w:r>
        <w:t>19 Known Limitations</w:t>
      </w:r>
    </w:p>
    <w:p>
      <w:pPr>
        <w:pStyle w:val="a"/>
      </w:pPr>
      <w:r/>
      <w:r>
        <w:t>Exactly one keyed_rows or marker_rows header group and exactly one source_rows driver are required.</w:t>
      </w:r>
    </w:p>
    <w:p>
      <w:pPr>
        <w:pStyle w:val="a"/>
      </w:pPr>
      <w:r>
        <w:t>Multiple nested keyed groups and multiple independent drivers are not supported.</w:t>
      </w:r>
    </w:p>
    <w:p>
      <w:pPr>
        <w:pStyle w:val="a"/>
      </w:pPr>
      <w:r/>
      <w:r>
        <w:t>fixed_columns is unsupported; max_occurs applies only to the supported header group and source_rows driver.</w:t>
      </w:r>
    </w:p>
    <w:p>
      <w:pPr>
        <w:pStyle w:val="a"/>
      </w:pPr>
      <w:r/>
      <w:r>
        <w:t>Duplicate non-empty HMD semantic_path values are rejected.</w:t>
      </w:r>
    </w:p>
    <w:p>
      <w:pPr>
        <w:pStyle w:val="a"/>
      </w:pPr>
      <w:r>
        <w:t>Selector removal uses a broad regular expression and does not parse nested brackets.</w:t>
      </w:r>
    </w:p>
    <w:p>
      <w:pPr>
        <w:pStyle w:val="a"/>
      </w:pPr>
      <w:r>
        <w:t>Variant extraction handles the first predicate immediately below the driver and only simple equality reliably.</w:t>
      </w:r>
    </w:p>
    <w:p>
      <w:pPr>
        <w:pStyle w:val="a"/>
      </w:pPr>
      <w:r>
        <w:t>Reverse output_records are sorted primarily by source_row ordinal, not explicitly by entry group order; identical ordinals across groups can interleave stably according to dictionary construction.</w:t>
      </w:r>
    </w:p>
    <w:p>
      <w:pPr>
        <w:pStyle w:val="a"/>
      </w:pPr>
      <w:r/>
      <w:r>
        <w:t>Unknown Structured CSV occurrence values are rejected; ROOT rows are validated but are not projected into physical columns by reverse conversion.</w:t>
      </w:r>
    </w:p>
    <w:p>
      <w:pPr>
        <w:pStyle w:val="a"/>
      </w:pPr>
      <w:r>
        <w:t>Required checks cover forward Attribute rows only; datatype validation is limited to registered transformations.</w:t>
      </w:r>
    </w:p>
    <w:p>
      <w:pPr>
        <w:pStyle w:val="a"/>
      </w:pPr>
      <w:r/>
      <w:r>
        <w:t>debug and trace are accepted CLI flags but do not change conversion processing in the current runtime.</w:t>
      </w:r>
    </w:p>
    <w:p>
      <w:pPr>
        <w:pStyle w:val="a"/>
      </w:pPr>
      <w:r/>
      <w:r>
        <w:t>ConversionError is reported to stderr with process status 2; unexpected failures use a value-free INTERNAL_ERROR message and status 3.</w:t>
      </w:r>
    </w:p>
    <w:p>
      <w:pPr>
        <w:pStyle w:val="a"/>
      </w:pPr>
      <w:r>
        <w:t>No atomic publication, rollback, manifest, or hash generation exists.</w:t>
      </w:r>
    </w:p>
    <w:p>
      <w:pPr>
        <w:pStyle w:val="10"/>
      </w:pPr>
      <w:r>
        <w:t>20 Appendices</w:t>
      </w:r>
    </w:p>
    <w:p>
      <w:pPr>
        <w:pStyle w:val="20"/>
      </w:pPr>
      <w:r>
        <w:t>Appendix A - Exact schemas</w:t>
      </w:r>
    </w:p>
    <w:tbl>
      <w:tblPr>
        <w:tblStyle w:val="af7"/>
        <w:tblW w:type="dxa" w:w="9720"/>
        <w:jc w:val="center"/>
        <w:tblLayout w:type="fixed"/>
        <w:tblLook w:firstColumn="1" w:firstRow="1" w:lastColumn="0" w:lastRow="0" w:noHBand="0" w:noVBand="1" w:val="04A0"/>
      </w:tblPr>
      <w:tblGrid>
        <w:gridCol w:w="9720"/>
      </w:tblGrid>
      <w:tr>
        <w:tc>
          <w:tcPr>
            <w:tcW w:type="dxa" w:w="9720"/>
            <w:tcMar>
              <w:top w:w="90" w:type="dxa"/>
              <w:start w:w="110" w:type="dxa"/>
              <w:bottom w:w="90" w:type="dxa"/>
              <w:end w:w="110" w:type="dxa"/>
            </w:tcMar>
            <w:vAlign w:val="center"/>
          </w:tcPr>
          <w:p>
            <w:r>
              <w:t>CANONICAL_FIELDS = ('sequence', 'level', 'type', 'id', 'name', 'datatype', 'multiplicity', 'column', 'semantic_path', 'occurrence_mode', 'group_key', 'row_role', 'max_occurs', 'default_value', 'transformation', 'required', 'note')</w:t>
            </w:r>
          </w:p>
        </w:tc>
      </w:tr>
    </w:tbl>
    <w:p>
      <w:pPr>
        <w:spacing w:after="0"/>
      </w:pPr>
    </w:p>
    <w:tbl>
      <w:tblPr>
        <w:tblStyle w:val="af7"/>
        <w:tblW w:type="dxa" w:w="9720"/>
        <w:jc w:val="center"/>
        <w:tblLayout w:type="fixed"/>
        <w:tblLook w:firstColumn="1" w:firstRow="1" w:lastColumn="0" w:lastRow="0" w:noHBand="0" w:noVBand="1" w:val="04A0"/>
      </w:tblPr>
      <w:tblGrid>
        <w:gridCol w:w="9720"/>
      </w:tblGrid>
      <w:tr>
        <w:tc>
          <w:tcPr>
            <w:tcW w:type="dxa" w:w="9720"/>
            <w:tcMar>
              <w:top w:w="90" w:type="dxa"/>
              <w:start w:w="110" w:type="dxa"/>
              <w:bottom w:w="90" w:type="dxa"/>
              <w:end w:w="110" w:type="dxa"/>
            </w:tcMar>
            <w:vAlign w:val="center"/>
          </w:tcPr>
          <w:p>
            <w:r>
              <w:t>STRUCTURED_FIELDS = ('entry_key', 'source_row', 'occurrence', 'sequence', 'level', 'type', 'id', 'name', 'semantic_path', 'binding_path', 'value')</w:t>
            </w:r>
          </w:p>
        </w:tc>
      </w:tr>
    </w:tbl>
    <w:p>
      <w:pPr>
        <w:spacing w:after="0"/>
      </w:pPr>
    </w:p>
    <w:p>
      <w:pPr>
        <w:pStyle w:val="20"/>
      </w:pPr>
      <w:r>
        <w:t>Appendix B - Function and method inventory</w:t>
      </w:r>
    </w:p>
    <w:p>
      <w:pPr>
        <w:keepNext/>
      </w:pPr>
      <w:r>
        <w:t>Table 17 summarizes flat csv detailed function inventory. The entries provide the implementation evidence used by the surrounding specification text.</w:t>
      </w:r>
    </w:p>
    <w:p>
      <w:pPr>
        <w:pStyle w:val="af2"/>
        <w:keepNext/>
        <w:jc w:val="center"/>
      </w:pPr>
      <w:r>
        <w:t>Table 17 — Flat CSV detailed function inventory</w:t>
      </w:r>
    </w:p>
    <w:tbl>
      <w:tblPr>
        <w:tblStyle w:val="af7"/>
        <w:tblW w:type="dxa" w:w="10368"/>
        <w:jc w:val="center"/>
        <w:tblLayout w:type="fixed"/>
        <w:tblLook w:firstColumn="1" w:firstRow="1" w:lastColumn="0" w:lastRow="0" w:noHBand="0" w:noVBand="1" w:val="04A0"/>
      </w:tblPr>
      <w:tblGrid>
        <w:gridCol w:w="3384"/>
        <w:gridCol w:w="2520"/>
        <w:gridCol w:w="648"/>
        <w:gridCol w:w="3816"/>
      </w:tblGrid>
      <w:tr>
        <w:trPr>
          <w:tblHeader w:val="true"/>
        </w:trPr>
        <w:tc>
          <w:tcPr>
            <w:tcW w:type="dxa" w:w="3384"/>
            <w:shd w:fill="F2F2F2"/>
            <w:tcMar>
              <w:top w:w="90" w:type="dxa"/>
              <w:start w:w="110" w:type="dxa"/>
              <w:bottom w:w="90" w:type="dxa"/>
              <w:end w:w="110" w:type="dxa"/>
            </w:tcMar>
            <w:vAlign w:val="center"/>
          </w:tcPr>
          <w:p>
            <w:r>
              <w:t>Module</w:t>
            </w:r>
          </w:p>
        </w:tc>
        <w:tc>
          <w:tcPr>
            <w:tcW w:type="dxa" w:w="2520"/>
            <w:shd w:fill="F2F2F2"/>
            <w:tcMar>
              <w:top w:w="90" w:type="dxa"/>
              <w:start w:w="110" w:type="dxa"/>
              <w:bottom w:w="90" w:type="dxa"/>
              <w:end w:w="110" w:type="dxa"/>
            </w:tcMar>
            <w:vAlign w:val="center"/>
          </w:tcPr>
          <w:p>
            <w:r>
              <w:t>Function/method</w:t>
            </w:r>
          </w:p>
        </w:tc>
        <w:tc>
          <w:tcPr>
            <w:tcW w:type="dxa" w:w="648"/>
            <w:shd w:fill="F2F2F2"/>
            <w:tcMar>
              <w:top w:w="90" w:type="dxa"/>
              <w:start w:w="110" w:type="dxa"/>
              <w:bottom w:w="90" w:type="dxa"/>
              <w:end w:w="110" w:type="dxa"/>
            </w:tcMar>
            <w:vAlign w:val="center"/>
          </w:tcPr>
          <w:p>
            <w:r>
              <w:t>Line</w:t>
            </w:r>
          </w:p>
        </w:tc>
        <w:tc>
          <w:tcPr>
            <w:tcW w:type="dxa" w:w="3816"/>
            <w:shd w:fill="F2F2F2"/>
            <w:tcMar>
              <w:top w:w="90" w:type="dxa"/>
              <w:start w:w="110" w:type="dxa"/>
              <w:bottom w:w="90" w:type="dxa"/>
              <w:end w:w="110" w:type="dxa"/>
            </w:tcMar>
            <w:vAlign w:val="center"/>
          </w:tcPr>
          <w:p>
            <w:r>
              <w:t>Signature</w:t>
            </w:r>
          </w:p>
        </w:tc>
      </w:tr>
      <w:tr>
        <w:tc>
          <w:tcPr>
            <w:tcW w:type="dxa" w:w="3384"/>
          </w:tcPr>
          <w:p>
            <w:r>
              <w:t>flat_csv.py</w:t>
            </w:r>
          </w:p>
        </w:tc>
        <w:tc>
          <w:tcPr>
            <w:tcW w:type="dxa" w:w="2520"/>
          </w:tcPr>
          <w:p>
            <w:r>
              <w:t>BindingRow.sequence / level / path / neutral_path / max_occurs / is_required</w:t>
            </w:r>
          </w:p>
        </w:tc>
        <w:tc>
          <w:tcPr>
            <w:tcW w:type="dxa" w:w="648"/>
          </w:tcPr>
          <w:p>
            <w:r>
              <w:t>69</w:t>
            </w:r>
          </w:p>
        </w:tc>
        <w:tc>
          <w:tcPr>
            <w:tcW w:type="dxa" w:w="3816"/>
          </w:tcPr>
          <w:p>
            <w:r>
              <w:t>typed properties</w:t>
            </w:r>
          </w:p>
        </w:tc>
      </w:tr>
      <w:tr>
        <w:tc>
          <w:tcPr>
            <w:tcW w:type="dxa" w:w="3384"/>
          </w:tcPr>
          <w:p>
            <w:r>
              <w:t>flat_csv.py</w:t>
            </w:r>
          </w:p>
        </w:tc>
        <w:tc>
          <w:tcPr>
            <w:tcW w:type="dxa" w:w="2520"/>
          </w:tcPr>
          <w:p>
            <w:r>
              <w:t>ConversionSummary.as_dict</w:t>
            </w:r>
          </w:p>
        </w:tc>
        <w:tc>
          <w:tcPr>
            <w:tcW w:type="dxa" w:w="648"/>
          </w:tcPr>
          <w:p>
            <w:r>
              <w:t>117</w:t>
            </w:r>
          </w:p>
        </w:tc>
        <w:tc>
          <w:tcPr>
            <w:tcW w:type="dxa" w:w="3816"/>
          </w:tcPr>
          <w:p>
            <w:r>
              <w:t>self -&gt; dict[str, object]</w:t>
            </w:r>
          </w:p>
        </w:tc>
      </w:tr>
      <w:tr>
        <w:tc>
          <w:tcPr>
            <w:tcW w:type="dxa" w:w="3384"/>
          </w:tcPr>
          <w:p>
            <w:r>
              <w:t>flat_csv.py</w:t>
            </w:r>
          </w:p>
        </w:tc>
        <w:tc>
          <w:tcPr>
            <w:tcW w:type="dxa" w:w="2520"/>
          </w:tcPr>
          <w:p>
            <w:r>
              <w:t>module.load_binding</w:t>
            </w:r>
          </w:p>
        </w:tc>
        <w:tc>
          <w:tcPr>
            <w:tcW w:type="dxa" w:w="648"/>
          </w:tcPr>
          <w:p>
            <w:r>
              <w:t>237</w:t>
            </w:r>
          </w:p>
        </w:tc>
        <w:tc>
          <w:tcPr>
            <w:tcW w:type="dxa" w:w="3816"/>
          </w:tcPr>
          <w:p>
            <w:r>
              <w:t>path, encoding -&gt; list[BindingRow]</w:t>
            </w:r>
          </w:p>
        </w:tc>
      </w:tr>
      <w:tr>
        <w:tc>
          <w:tcPr>
            <w:tcW w:type="dxa" w:w="3384"/>
          </w:tcPr>
          <w:p>
            <w:r>
              <w:t>flat_csv.py</w:t>
            </w:r>
          </w:p>
        </w:tc>
        <w:tc>
          <w:tcPr>
            <w:tcW w:type="dxa" w:w="2520"/>
          </w:tcPr>
          <w:p>
            <w:r>
              <w:t>module.load_hmd</w:t>
            </w:r>
          </w:p>
        </w:tc>
        <w:tc>
          <w:tcPr>
            <w:tcW w:type="dxa" w:w="648"/>
          </w:tcPr>
          <w:p>
            <w:r>
              <w:t>271</w:t>
            </w:r>
          </w:p>
        </w:tc>
        <w:tc>
          <w:tcPr>
            <w:tcW w:type="dxa" w:w="3816"/>
          </w:tcPr>
          <w:p>
            <w:r>
              <w:t>path, encoding -&gt; dict[str, int]</w:t>
            </w:r>
          </w:p>
        </w:tc>
      </w:tr>
      <w:tr>
        <w:tc>
          <w:tcPr>
            <w:tcW w:type="dxa" w:w="3384"/>
          </w:tcPr>
          <w:p>
            <w:r>
              <w:t>flat_csv.py</w:t>
            </w:r>
          </w:p>
        </w:tc>
        <w:tc>
          <w:tcPr>
            <w:tcW w:type="dxa" w:w="2520"/>
          </w:tcPr>
          <w:p>
            <w:r>
              <w:t>module.validate_definition</w:t>
            </w:r>
          </w:p>
        </w:tc>
        <w:tc>
          <w:tcPr>
            <w:tcW w:type="dxa" w:w="648"/>
          </w:tcPr>
          <w:p>
            <w:r>
              <w:t>302</w:t>
            </w:r>
          </w:p>
        </w:tc>
        <w:tc>
          <w:tcPr>
            <w:tcW w:type="dxa" w:w="3816"/>
          </w:tcPr>
          <w:p>
            <w:r>
              <w:t>rows, hmd_sequences -&gt; Definition</w:t>
            </w:r>
          </w:p>
        </w:tc>
      </w:tr>
      <w:tr>
        <w:tc>
          <w:tcPr>
            <w:tcW w:type="dxa" w:w="3384"/>
          </w:tcPr>
          <w:p>
            <w:r>
              <w:t>flat_csv.py</w:t>
            </w:r>
          </w:p>
        </w:tc>
        <w:tc>
          <w:tcPr>
            <w:tcW w:type="dxa" w:w="2520"/>
          </w:tcPr>
          <w:p>
            <w:r>
              <w:t>module.group_source_rows</w:t>
            </w:r>
          </w:p>
        </w:tc>
        <w:tc>
          <w:tcPr>
            <w:tcW w:type="dxa" w:w="648"/>
          </w:tcPr>
          <w:p>
            <w:r>
              <w:t>478</w:t>
            </w:r>
          </w:p>
        </w:tc>
        <w:tc>
          <w:tcPr>
            <w:tcW w:type="dxa" w:w="3816"/>
          </w:tcPr>
          <w:p>
            <w:r>
              <w:t>source_rows, GroupSpec -&gt; grouped rows</w:t>
            </w:r>
          </w:p>
        </w:tc>
      </w:tr>
      <w:tr>
        <w:tc>
          <w:tcPr>
            <w:tcW w:type="dxa" w:w="3384"/>
          </w:tcPr>
          <w:p>
            <w:r>
              <w:t>flat_csv.py</w:t>
            </w:r>
          </w:p>
        </w:tc>
        <w:tc>
          <w:tcPr>
            <w:tcW w:type="dxa" w:w="2520"/>
          </w:tcPr>
          <w:p>
            <w:r>
              <w:t>module.convert_to_structured</w:t>
            </w:r>
          </w:p>
        </w:tc>
        <w:tc>
          <w:tcPr>
            <w:tcW w:type="dxa" w:w="648"/>
          </w:tcPr>
          <w:p>
            <w:r>
              <w:t>600</w:t>
            </w:r>
          </w:p>
        </w:tc>
        <w:tc>
          <w:tcPr>
            <w:tcW w:type="dxa" w:w="3816"/>
          </w:tcPr>
          <w:p>
            <w:r>
              <w:t>ConversionOptions -&gt; ConversionSummary</w:t>
            </w:r>
          </w:p>
        </w:tc>
      </w:tr>
      <w:tr>
        <w:tc>
          <w:tcPr>
            <w:tcW w:type="dxa" w:w="3384"/>
          </w:tcPr>
          <w:p>
            <w:r>
              <w:t>flat_csv.py</w:t>
            </w:r>
          </w:p>
        </w:tc>
        <w:tc>
          <w:tcPr>
            <w:tcW w:type="dxa" w:w="2520"/>
          </w:tcPr>
          <w:p>
            <w:r>
              <w:t>module.convert_to_flat</w:t>
            </w:r>
          </w:p>
        </w:tc>
        <w:tc>
          <w:tcPr>
            <w:tcW w:type="dxa" w:w="648"/>
          </w:tcPr>
          <w:p>
            <w:r>
              <w:t>741</w:t>
            </w:r>
          </w:p>
        </w:tc>
        <w:tc>
          <w:tcPr>
            <w:tcW w:type="dxa" w:w="3816"/>
          </w:tcPr>
          <w:p>
            <w:r>
              <w:t>ConversionOptions -&gt; ConversionSummary</w:t>
            </w:r>
          </w:p>
        </w:tc>
      </w:tr>
      <w:tr>
        <w:tc>
          <w:tcPr>
            <w:tcW w:type="dxa" w:w="3384"/>
          </w:tcPr>
          <w:p>
            <w:r>
              <w:t>flat_csv.py</w:t>
            </w:r>
          </w:p>
        </w:tc>
        <w:tc>
          <w:tcPr>
            <w:tcW w:type="dxa" w:w="2520"/>
          </w:tcPr>
          <w:p>
            <w:r>
              <w:t>module.write_summary</w:t>
            </w:r>
          </w:p>
        </w:tc>
        <w:tc>
          <w:tcPr>
            <w:tcW w:type="dxa" w:w="648"/>
          </w:tcPr>
          <w:p>
            <w:r>
              <w:t>821</w:t>
            </w:r>
          </w:p>
        </w:tc>
        <w:tc>
          <w:tcPr>
            <w:tcW w:type="dxa" w:w="3816"/>
          </w:tcPr>
          <w:p>
            <w:r>
              <w:t>Path, ConversionSummary -&gt; None</w:t>
            </w:r>
          </w:p>
        </w:tc>
      </w:tr>
      <w:tr>
        <w:tc>
          <w:tcPr>
            <w:tcW w:type="dxa" w:w="3384"/>
          </w:tcPr>
          <w:p>
            <w:r>
              <w:t>flat_csv.py</w:t>
            </w:r>
          </w:p>
        </w:tc>
        <w:tc>
          <w:tcPr>
            <w:tcW w:type="dxa" w:w="2520"/>
          </w:tcPr>
          <w:p>
            <w:r>
              <w:t>module.parse_args</w:t>
            </w:r>
          </w:p>
        </w:tc>
        <w:tc>
          <w:tcPr>
            <w:tcW w:type="dxa" w:w="648"/>
          </w:tcPr>
          <w:p>
            <w:r>
              <w:t>840</w:t>
            </w:r>
          </w:p>
        </w:tc>
        <w:tc>
          <w:tcPr>
            <w:tcW w:type="dxa" w:w="3816"/>
          </w:tcPr>
          <w:p>
            <w:r>
              <w:t>argv -&gt; argparse.Namespace</w:t>
            </w:r>
          </w:p>
        </w:tc>
      </w:tr>
      <w:tr>
        <w:tc>
          <w:tcPr>
            <w:tcW w:type="dxa" w:w="3384"/>
          </w:tcPr>
          <w:p>
            <w:r>
              <w:t>flat_csv.py</w:t>
            </w:r>
          </w:p>
        </w:tc>
        <w:tc>
          <w:tcPr>
            <w:tcW w:type="dxa" w:w="2520"/>
          </w:tcPr>
          <w:p>
            <w:r>
              <w:t>module.main</w:t>
            </w:r>
          </w:p>
        </w:tc>
        <w:tc>
          <w:tcPr>
            <w:tcW w:type="dxa" w:w="648"/>
          </w:tcPr>
          <w:p>
            <w:r>
              <w:t>887</w:t>
            </w:r>
          </w:p>
        </w:tc>
        <w:tc>
          <w:tcPr>
            <w:tcW w:type="dxa" w:w="3816"/>
          </w:tcPr>
          <w:p>
            <w:r>
              <w:t>argv -&gt; int</w:t>
            </w:r>
          </w:p>
        </w:tc>
      </w:tr>
    </w:tbl>
    <w:p>
      <w:pPr>
        <w:spacing w:after="0"/>
      </w:pPr>
    </w:p>
    <w:sectPr w:rsidR="00375D46" w:rsidRPr="00736857" w:rsidSect="00EE4DC2">
      <w:headerReference w:type="even" r:id="rId21"/>
      <w:headerReference w:type="default" r:id="rId22"/>
      <w:footerReference w:type="even" r:id="rId23"/>
      <w:footerReference w:type="default" r:id="rId24"/>
      <w:pgSz w:w="11906" w:h="16838"/>
      <w:pgMar w:top="1440" w:right="1080" w:bottom="1440" w:left="1080" w:header="851" w:footer="85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8FCF6" w14:textId="77777777" w:rsidR="003719D5" w:rsidRPr="00E70CEE" w:rsidRDefault="003719D5" w:rsidP="00F76850">
      <w:r w:rsidRPr="00E70CEE">
        <w:separator/>
      </w:r>
    </w:p>
  </w:endnote>
  <w:endnote w:type="continuationSeparator" w:id="0">
    <w:p w14:paraId="18BCD05C" w14:textId="77777777" w:rsidR="003719D5" w:rsidRPr="00E70CEE" w:rsidRDefault="003719D5" w:rsidP="00F76850">
      <w:r w:rsidRPr="00E70C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994516"/>
      <w:docPartObj>
        <w:docPartGallery w:val="Page Numbers (Bottom of Page)"/>
        <w:docPartUnique/>
      </w:docPartObj>
    </w:sdtPr>
    <w:sdtContent>
      <w:p w14:paraId="600CE5B0" w14:textId="77777777" w:rsidR="00C27255" w:rsidRPr="00E70CEE" w:rsidRDefault="00C27255" w:rsidP="00F76850">
        <w:pPr>
          <w:pStyle w:val="af5"/>
        </w:pPr>
        <w:r w:rsidRPr="00E70CEE">
          <w:fldChar w:fldCharType="begin"/>
        </w:r>
        <w:r w:rsidRPr="00E70CEE">
          <w:instrText>PAGE   \* MERGEFORMAT</w:instrText>
        </w:r>
        <w:r w:rsidRPr="00E70CEE">
          <w:fldChar w:fldCharType="separate"/>
        </w:r>
        <w:r w:rsidRPr="00E70CEE">
          <w:t>2</w:t>
        </w:r>
        <w:r w:rsidRPr="00E70CEE">
          <w:fldChar w:fldCharType="end"/>
        </w:r>
        <w:r w:rsidR="00A76318" w:rsidRPr="00E70CEE">
          <w:tab/>
          <w:t xml:space="preserve">                                                                           </w:t>
        </w:r>
        <w:r w:rsidR="008D2E89" w:rsidRPr="00E70CEE">
          <w:rPr>
            <w:rFonts w:hint="eastAsia"/>
          </w:rPr>
          <w:t xml:space="preserve">                                                                    </w:t>
        </w:r>
        <w:r w:rsidR="001F191A" w:rsidRPr="00E70CEE">
          <w:t>Collaborative Review Draft</w:t>
        </w:r>
      </w:p>
    </w:sdtContent>
  </w:sdt>
  <w:p w14:paraId="69D46FF2" w14:textId="77777777" w:rsidR="00C27255" w:rsidRPr="00E70CEE" w:rsidRDefault="00C27255" w:rsidP="00F76850">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7258"/>
      <w:docPartObj>
        <w:docPartGallery w:val="Page Numbers (Bottom of Page)"/>
        <w:docPartUnique/>
      </w:docPartObj>
    </w:sdtPr>
    <w:sdtContent>
      <w:p w14:paraId="06E4D894" w14:textId="77777777" w:rsidR="00B1571D" w:rsidRPr="00E70CEE" w:rsidRDefault="00B77E6C" w:rsidP="00F76850">
        <w:pPr>
          <w:pStyle w:val="af5"/>
        </w:pPr>
        <w:r w:rsidRPr="00E70CEE">
          <w:t>Collaborative Review Draft</w:t>
        </w:r>
        <w:r w:rsidR="005704BF" w:rsidRPr="00E70CEE">
          <w:tab/>
        </w:r>
        <w:r w:rsidR="005704BF" w:rsidRPr="00E70CEE">
          <w:tab/>
        </w:r>
        <w:r w:rsidR="005704BF" w:rsidRPr="00E70CEE">
          <w:tab/>
        </w:r>
        <w:r w:rsidR="00EE4DC2" w:rsidRPr="00E70CEE">
          <w:rPr>
            <w:rFonts w:hint="eastAsia"/>
          </w:rPr>
          <w:t xml:space="preserve">                 </w:t>
        </w:r>
        <w:r w:rsidR="00B1571D" w:rsidRPr="00E70CEE">
          <w:fldChar w:fldCharType="begin"/>
        </w:r>
        <w:r w:rsidR="00B1571D" w:rsidRPr="00E70CEE">
          <w:instrText>PAGE   \* MERGEFORMAT</w:instrText>
        </w:r>
        <w:r w:rsidR="00B1571D" w:rsidRPr="00E70CEE">
          <w:fldChar w:fldCharType="separate"/>
        </w:r>
        <w:r w:rsidR="00B1571D" w:rsidRPr="00E70CEE">
          <w:t>2</w:t>
        </w:r>
        <w:r w:rsidR="00B1571D" w:rsidRPr="00E70CEE">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4BB65" w14:textId="77777777" w:rsidR="003719D5" w:rsidRPr="00E70CEE" w:rsidRDefault="003719D5" w:rsidP="00F76850">
      <w:r w:rsidRPr="00E70CEE">
        <w:separator/>
      </w:r>
    </w:p>
  </w:footnote>
  <w:footnote w:type="continuationSeparator" w:id="0">
    <w:p w14:paraId="2CE6CD2A" w14:textId="77777777" w:rsidR="003719D5" w:rsidRPr="00E70CEE" w:rsidRDefault="003719D5" w:rsidP="00F76850">
      <w:r w:rsidRPr="00E70C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298B5" w14:textId="77777777" w:rsidR="008D2E89" w:rsidRPr="00E70CEE" w:rsidRDefault="008D2E89">
    <w:pPr>
      <w:pStyle w:val="af3"/>
    </w:pPr>
    <w:r w:rsidRPr="00E70CEE">
      <w:t>XBRL GL Next Taxonomy Framework  — Part 1: General rules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D81C5" w14:textId="77777777" w:rsidR="008D2E89" w:rsidRPr="00E70CEE" w:rsidRDefault="008D2E89" w:rsidP="008D2E89">
    <w:pPr>
      <w:pStyle w:val="af3"/>
      <w:jc w:val="right"/>
    </w:pPr>
    <w:r>
      <w:rPr>
        <w:color w:val="666666"/>
        <w:sz w:val="18"/>
      </w:rPr>
      <w:t>UADC Program Specification  — Flat CSV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B3224A4"/>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363780"/>
    <w:multiLevelType w:val="hybridMultilevel"/>
    <w:tmpl w:val="EA2089E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AD66C2"/>
    <w:multiLevelType w:val="hybridMultilevel"/>
    <w:tmpl w:val="E2E27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1E1E71"/>
    <w:multiLevelType w:val="hybridMultilevel"/>
    <w:tmpl w:val="24C87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A55008"/>
    <w:multiLevelType w:val="multilevel"/>
    <w:tmpl w:val="DDD4A4AC"/>
    <w:lvl w:ilvl="0">
      <w:start w:val="1"/>
      <w:numFmt w:val="upperLetter"/>
      <w:pStyle w:val="Appendix"/>
      <w:lvlText w:val="Appendix %1"/>
      <w:lvlJc w:val="left"/>
      <w:pPr>
        <w:ind w:left="3338" w:hanging="360"/>
      </w:p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5" w15:restartNumberingAfterBreak="0">
    <w:nsid w:val="0ADE1ECD"/>
    <w:multiLevelType w:val="hybridMultilevel"/>
    <w:tmpl w:val="0A26C58E"/>
    <w:lvl w:ilvl="0" w:tplc="08090017">
      <w:start w:val="1"/>
      <w:numFmt w:val="lowerLetter"/>
      <w:lvlText w:val="%1)"/>
      <w:lvlJc w:val="left"/>
      <w:pPr>
        <w:ind w:left="720" w:hanging="360"/>
      </w:pPr>
      <w:rPr>
        <w:rFonts w:hint="default"/>
      </w:rPr>
    </w:lvl>
    <w:lvl w:ilvl="1" w:tplc="FFFFFFFF">
      <w:numFmt w:val="bullet"/>
      <w:lvlText w:val="•"/>
      <w:lvlJc w:val="left"/>
      <w:pPr>
        <w:ind w:left="1440" w:hanging="360"/>
      </w:pPr>
      <w:rPr>
        <w:rFonts w:ascii="游明朝" w:eastAsia="游明朝" w:hAnsi="游明朝" w:cstheme="minorBidi"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2076D3"/>
    <w:multiLevelType w:val="hybridMultilevel"/>
    <w:tmpl w:val="A844B3D0"/>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5504D3"/>
    <w:multiLevelType w:val="hybridMultilevel"/>
    <w:tmpl w:val="652CA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EA04946"/>
    <w:multiLevelType w:val="hybridMultilevel"/>
    <w:tmpl w:val="9198E37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FC3B62"/>
    <w:multiLevelType w:val="hybridMultilevel"/>
    <w:tmpl w:val="CC1CC236"/>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0" w15:restartNumberingAfterBreak="0">
    <w:nsid w:val="16E22129"/>
    <w:multiLevelType w:val="hybridMultilevel"/>
    <w:tmpl w:val="E4FAE8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107A72"/>
    <w:multiLevelType w:val="hybridMultilevel"/>
    <w:tmpl w:val="4FCE1D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892585B"/>
    <w:multiLevelType w:val="hybridMultilevel"/>
    <w:tmpl w:val="D110F86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B6476AD"/>
    <w:multiLevelType w:val="hybridMultilevel"/>
    <w:tmpl w:val="7618DF8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8C5803"/>
    <w:multiLevelType w:val="hybridMultilevel"/>
    <w:tmpl w:val="22461D1C"/>
    <w:lvl w:ilvl="0" w:tplc="21B0E16C">
      <w:start w:val="1"/>
      <w:numFmt w:val="lowerLetter"/>
      <w:lvlText w:val="%1)"/>
      <w:lvlJc w:val="left"/>
      <w:pPr>
        <w:ind w:left="720" w:hanging="360"/>
      </w:pPr>
      <w:rPr>
        <w:rFonts w:hint="default"/>
      </w:rPr>
    </w:lvl>
    <w:lvl w:ilvl="1" w:tplc="3C946C06">
      <w:start w:val="1"/>
      <w:numFmt w:val="decimal"/>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CB66E9"/>
    <w:multiLevelType w:val="hybridMultilevel"/>
    <w:tmpl w:val="A7BA39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7E10B4E"/>
    <w:multiLevelType w:val="hybridMultilevel"/>
    <w:tmpl w:val="11F09C5C"/>
    <w:lvl w:ilvl="0" w:tplc="53C66508">
      <w:numFmt w:val="bullet"/>
      <w:pStyle w:val="a"/>
      <w:lvlText w:val="•"/>
      <w:lvlJc w:val="left"/>
      <w:pPr>
        <w:ind w:left="360" w:hanging="360"/>
      </w:pPr>
      <w:rPr>
        <w:rFonts w:ascii="Cambria" w:eastAsia="ＭＳ 明朝" w:hAnsi="Cambria"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8CB297F"/>
    <w:multiLevelType w:val="hybridMultilevel"/>
    <w:tmpl w:val="71125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6C5283"/>
    <w:multiLevelType w:val="hybridMultilevel"/>
    <w:tmpl w:val="4F468192"/>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AC04565"/>
    <w:multiLevelType w:val="hybridMultilevel"/>
    <w:tmpl w:val="EDD0E2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D5307F4"/>
    <w:multiLevelType w:val="hybridMultilevel"/>
    <w:tmpl w:val="C3B8E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A369A5"/>
    <w:multiLevelType w:val="hybridMultilevel"/>
    <w:tmpl w:val="433E1F8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AB7F2F"/>
    <w:multiLevelType w:val="hybridMultilevel"/>
    <w:tmpl w:val="16FE870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7B4442"/>
    <w:multiLevelType w:val="hybridMultilevel"/>
    <w:tmpl w:val="9F5C1EAA"/>
    <w:lvl w:ilvl="0" w:tplc="52723C7C">
      <w:start w:val="1"/>
      <w:numFmt w:val="lowerLetter"/>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43F72C3D"/>
    <w:multiLevelType w:val="hybridMultilevel"/>
    <w:tmpl w:val="83A601A2"/>
    <w:lvl w:ilvl="0" w:tplc="1FC07F14">
      <w:numFmt w:val="bullet"/>
      <w:pStyle w:val="a0"/>
      <w:lvlText w:val="—"/>
      <w:lvlJc w:val="left"/>
      <w:pPr>
        <w:ind w:left="1080" w:hanging="360"/>
      </w:pPr>
      <w:rPr>
        <w:rFonts w:ascii="Cambria" w:eastAsia="Calibr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BF824DE"/>
    <w:multiLevelType w:val="hybridMultilevel"/>
    <w:tmpl w:val="C5AE4E0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C5E0A5C"/>
    <w:multiLevelType w:val="multilevel"/>
    <w:tmpl w:val="4678D242"/>
    <w:lvl w:ilvl="0">
      <w:numFmt w:val="bullet"/>
      <w:lvlText w:val="—"/>
      <w:lvlJc w:val="left"/>
      <w:pPr>
        <w:tabs>
          <w:tab w:val="num" w:pos="360"/>
        </w:tabs>
        <w:ind w:left="360" w:hanging="360"/>
      </w:pPr>
      <w:rPr>
        <w:rFonts w:ascii="Cambria" w:eastAsia="Calibri" w:hAnsi="Cambria" w:cs="Times New Roman"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low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061650C"/>
    <w:multiLevelType w:val="hybridMultilevel"/>
    <w:tmpl w:val="8206861C"/>
    <w:lvl w:ilvl="0" w:tplc="DE6C9050">
      <w:start w:val="1"/>
      <w:numFmt w:val="decimal"/>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589764DE"/>
    <w:multiLevelType w:val="hybridMultilevel"/>
    <w:tmpl w:val="E942074A"/>
    <w:lvl w:ilvl="0" w:tplc="FFFFFFFF">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CA3C8D"/>
    <w:multiLevelType w:val="hybridMultilevel"/>
    <w:tmpl w:val="5A1E9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3946CED"/>
    <w:multiLevelType w:val="hybridMultilevel"/>
    <w:tmpl w:val="29CE4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8513288"/>
    <w:multiLevelType w:val="hybridMultilevel"/>
    <w:tmpl w:val="7618DF8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A323BB5"/>
    <w:multiLevelType w:val="hybridMultilevel"/>
    <w:tmpl w:val="E2FA48A4"/>
    <w:lvl w:ilvl="0" w:tplc="3B2A2C7E">
      <w:start w:val="1"/>
      <w:numFmt w:val="lowerLetter"/>
      <w:pStyle w:val="1"/>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A3B20BD"/>
    <w:multiLevelType w:val="hybridMultilevel"/>
    <w:tmpl w:val="68748312"/>
    <w:lvl w:ilvl="0" w:tplc="04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6AF766D2"/>
    <w:multiLevelType w:val="hybridMultilevel"/>
    <w:tmpl w:val="ADA6335C"/>
    <w:lvl w:ilvl="0" w:tplc="08090001">
      <w:start w:val="1"/>
      <w:numFmt w:val="bullet"/>
      <w:lvlText w:val=""/>
      <w:lvlJc w:val="left"/>
      <w:pPr>
        <w:ind w:left="360" w:hanging="360"/>
      </w:pPr>
      <w:rPr>
        <w:rFonts w:ascii="Symbol" w:hAnsi="Symbol" w:hint="default"/>
      </w:rPr>
    </w:lvl>
    <w:lvl w:ilvl="1" w:tplc="AF8E6468">
      <w:numFmt w:val="bullet"/>
      <w:lvlText w:val="•"/>
      <w:lvlJc w:val="left"/>
      <w:pPr>
        <w:ind w:left="1080" w:hanging="360"/>
      </w:pPr>
      <w:rPr>
        <w:rFonts w:ascii="游明朝" w:eastAsia="游明朝" w:hAnsi="游明朝" w:cstheme="minorBidi" w:hint="eastAsia"/>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B9749AD"/>
    <w:multiLevelType w:val="hybridMultilevel"/>
    <w:tmpl w:val="61FEA6E6"/>
    <w:lvl w:ilvl="0" w:tplc="FFFFFFFF">
      <w:numFmt w:val="bullet"/>
      <w:lvlText w:val="—"/>
      <w:lvlJc w:val="left"/>
      <w:pPr>
        <w:ind w:left="1080" w:hanging="360"/>
      </w:pPr>
      <w:rPr>
        <w:rFonts w:ascii="Cambria" w:eastAsia="Calibri" w:hAnsi="Cambria" w:cs="Times New Roman" w:hint="default"/>
      </w:rPr>
    </w:lvl>
    <w:lvl w:ilvl="1" w:tplc="8A5A4498">
      <w:start w:val="2"/>
      <w:numFmt w:val="bullet"/>
      <w:lvlText w:val="-"/>
      <w:lvlJc w:val="left"/>
      <w:pPr>
        <w:ind w:left="1800" w:hanging="360"/>
      </w:pPr>
      <w:rPr>
        <w:rFonts w:ascii="Cambria" w:eastAsiaTheme="minorEastAsia" w:hAnsi="Cambria"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6BDB7463"/>
    <w:multiLevelType w:val="hybridMultilevel"/>
    <w:tmpl w:val="9710B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E1C6A50"/>
    <w:multiLevelType w:val="hybridMultilevel"/>
    <w:tmpl w:val="8DD24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243590"/>
    <w:multiLevelType w:val="hybridMultilevel"/>
    <w:tmpl w:val="3B4E865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61B4164"/>
    <w:multiLevelType w:val="hybridMultilevel"/>
    <w:tmpl w:val="BA2264AC"/>
    <w:lvl w:ilvl="0" w:tplc="FFFFFFFF">
      <w:numFmt w:val="bullet"/>
      <w:lvlText w:val="—"/>
      <w:lvlJc w:val="left"/>
      <w:pPr>
        <w:ind w:left="720" w:hanging="360"/>
      </w:pPr>
      <w:rPr>
        <w:rFonts w:ascii="Cambria" w:eastAsia="Calibri" w:hAnsi="Cambria"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E7B1635"/>
    <w:multiLevelType w:val="hybridMultilevel"/>
    <w:tmpl w:val="4480508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8208056">
    <w:abstractNumId w:val="37"/>
  </w:num>
  <w:num w:numId="2" w16cid:durableId="1884556473">
    <w:abstractNumId w:val="26"/>
  </w:num>
  <w:num w:numId="3" w16cid:durableId="1385331568">
    <w:abstractNumId w:val="0"/>
  </w:num>
  <w:num w:numId="4" w16cid:durableId="1544753654">
    <w:abstractNumId w:val="42"/>
  </w:num>
  <w:num w:numId="5" w16cid:durableId="348411247">
    <w:abstractNumId w:val="4"/>
  </w:num>
  <w:num w:numId="6" w16cid:durableId="79646367">
    <w:abstractNumId w:val="24"/>
  </w:num>
  <w:num w:numId="7" w16cid:durableId="1096173830">
    <w:abstractNumId w:val="21"/>
  </w:num>
  <w:num w:numId="8" w16cid:durableId="319887112">
    <w:abstractNumId w:val="31"/>
  </w:num>
  <w:num w:numId="9" w16cid:durableId="1726374959">
    <w:abstractNumId w:val="44"/>
  </w:num>
  <w:num w:numId="10" w16cid:durableId="1130635520">
    <w:abstractNumId w:val="16"/>
  </w:num>
  <w:num w:numId="11" w16cid:durableId="77560740">
    <w:abstractNumId w:val="35"/>
  </w:num>
  <w:num w:numId="12" w16cid:durableId="1084456843">
    <w:abstractNumId w:val="29"/>
  </w:num>
  <w:num w:numId="13" w16cid:durableId="1175341008">
    <w:abstractNumId w:val="25"/>
  </w:num>
  <w:num w:numId="14" w16cid:durableId="1273854799">
    <w:abstractNumId w:val="33"/>
  </w:num>
  <w:num w:numId="15" w16cid:durableId="591360892">
    <w:abstractNumId w:val="38"/>
  </w:num>
  <w:num w:numId="16" w16cid:durableId="299502083">
    <w:abstractNumId w:val="27"/>
  </w:num>
  <w:num w:numId="17" w16cid:durableId="1493135111">
    <w:abstractNumId w:val="28"/>
  </w:num>
  <w:num w:numId="18" w16cid:durableId="1488009754">
    <w:abstractNumId w:val="19"/>
  </w:num>
  <w:num w:numId="19" w16cid:durableId="1690642467">
    <w:abstractNumId w:val="41"/>
  </w:num>
  <w:num w:numId="20" w16cid:durableId="176120065">
    <w:abstractNumId w:val="23"/>
  </w:num>
  <w:num w:numId="21" w16cid:durableId="1601374578">
    <w:abstractNumId w:val="5"/>
  </w:num>
  <w:num w:numId="22" w16cid:durableId="1406106412">
    <w:abstractNumId w:val="11"/>
  </w:num>
  <w:num w:numId="23" w16cid:durableId="1437864038">
    <w:abstractNumId w:val="15"/>
  </w:num>
  <w:num w:numId="24" w16cid:durableId="1808472823">
    <w:abstractNumId w:val="20"/>
  </w:num>
  <w:num w:numId="25" w16cid:durableId="2075270104">
    <w:abstractNumId w:val="39"/>
  </w:num>
  <w:num w:numId="26" w16cid:durableId="1968968821">
    <w:abstractNumId w:val="7"/>
  </w:num>
  <w:num w:numId="27" w16cid:durableId="748036370">
    <w:abstractNumId w:val="30"/>
  </w:num>
  <w:num w:numId="28" w16cid:durableId="170603889">
    <w:abstractNumId w:val="34"/>
  </w:num>
  <w:num w:numId="29" w16cid:durableId="247615212">
    <w:abstractNumId w:val="13"/>
  </w:num>
  <w:num w:numId="30" w16cid:durableId="1024552510">
    <w:abstractNumId w:val="12"/>
  </w:num>
  <w:num w:numId="31" w16cid:durableId="81798255">
    <w:abstractNumId w:val="43"/>
  </w:num>
  <w:num w:numId="32" w16cid:durableId="49614401">
    <w:abstractNumId w:val="9"/>
  </w:num>
  <w:num w:numId="33" w16cid:durableId="1811095092">
    <w:abstractNumId w:val="36"/>
  </w:num>
  <w:num w:numId="34" w16cid:durableId="1195389175">
    <w:abstractNumId w:val="14"/>
  </w:num>
  <w:num w:numId="35" w16cid:durableId="1849758885">
    <w:abstractNumId w:val="17"/>
  </w:num>
  <w:num w:numId="36" w16cid:durableId="1379011714">
    <w:abstractNumId w:val="2"/>
  </w:num>
  <w:num w:numId="37" w16cid:durableId="1202523646">
    <w:abstractNumId w:val="1"/>
  </w:num>
  <w:num w:numId="38" w16cid:durableId="470824449">
    <w:abstractNumId w:val="8"/>
  </w:num>
  <w:num w:numId="39" w16cid:durableId="1594779669">
    <w:abstractNumId w:val="18"/>
  </w:num>
  <w:num w:numId="40" w16cid:durableId="1444492084">
    <w:abstractNumId w:val="6"/>
  </w:num>
  <w:num w:numId="41" w16cid:durableId="1900902044">
    <w:abstractNumId w:val="3"/>
  </w:num>
  <w:num w:numId="42" w16cid:durableId="239995142">
    <w:abstractNumId w:val="40"/>
  </w:num>
  <w:num w:numId="43" w16cid:durableId="1061907402">
    <w:abstractNumId w:val="32"/>
  </w:num>
  <w:num w:numId="44" w16cid:durableId="1757752260">
    <w:abstractNumId w:val="22"/>
  </w:num>
  <w:num w:numId="45" w16cid:durableId="147747420">
    <w:abstractNumId w:val="1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77"/>
    <w:rsid w:val="00000531"/>
    <w:rsid w:val="00002D07"/>
    <w:rsid w:val="00003FA9"/>
    <w:rsid w:val="00004964"/>
    <w:rsid w:val="00013CA1"/>
    <w:rsid w:val="0001628B"/>
    <w:rsid w:val="00017624"/>
    <w:rsid w:val="00017666"/>
    <w:rsid w:val="00020B0D"/>
    <w:rsid w:val="00020CCF"/>
    <w:rsid w:val="00021E07"/>
    <w:rsid w:val="0002482A"/>
    <w:rsid w:val="00025553"/>
    <w:rsid w:val="000266E3"/>
    <w:rsid w:val="00027A79"/>
    <w:rsid w:val="00030260"/>
    <w:rsid w:val="00033B92"/>
    <w:rsid w:val="00034349"/>
    <w:rsid w:val="0003442F"/>
    <w:rsid w:val="00035C6C"/>
    <w:rsid w:val="00036875"/>
    <w:rsid w:val="00040042"/>
    <w:rsid w:val="00043112"/>
    <w:rsid w:val="00044BBE"/>
    <w:rsid w:val="00053732"/>
    <w:rsid w:val="00053D18"/>
    <w:rsid w:val="00055763"/>
    <w:rsid w:val="00056962"/>
    <w:rsid w:val="00057F83"/>
    <w:rsid w:val="0006266B"/>
    <w:rsid w:val="000637E6"/>
    <w:rsid w:val="00065467"/>
    <w:rsid w:val="00065DE0"/>
    <w:rsid w:val="00066DC8"/>
    <w:rsid w:val="00067E55"/>
    <w:rsid w:val="0007051F"/>
    <w:rsid w:val="00072470"/>
    <w:rsid w:val="00073B67"/>
    <w:rsid w:val="00073C23"/>
    <w:rsid w:val="00076390"/>
    <w:rsid w:val="00076D11"/>
    <w:rsid w:val="00077311"/>
    <w:rsid w:val="00081C18"/>
    <w:rsid w:val="00082862"/>
    <w:rsid w:val="00083F90"/>
    <w:rsid w:val="00084503"/>
    <w:rsid w:val="00086754"/>
    <w:rsid w:val="00092B97"/>
    <w:rsid w:val="000944D3"/>
    <w:rsid w:val="000A4D90"/>
    <w:rsid w:val="000B1F7D"/>
    <w:rsid w:val="000B36FB"/>
    <w:rsid w:val="000B71D6"/>
    <w:rsid w:val="000C0D80"/>
    <w:rsid w:val="000C479C"/>
    <w:rsid w:val="000C694F"/>
    <w:rsid w:val="000C73F4"/>
    <w:rsid w:val="000D46AC"/>
    <w:rsid w:val="000D5060"/>
    <w:rsid w:val="000D5B62"/>
    <w:rsid w:val="000D7564"/>
    <w:rsid w:val="000E0469"/>
    <w:rsid w:val="000E23E5"/>
    <w:rsid w:val="000E4A1D"/>
    <w:rsid w:val="000E5B88"/>
    <w:rsid w:val="000E7FE5"/>
    <w:rsid w:val="000F0DCE"/>
    <w:rsid w:val="000F28A3"/>
    <w:rsid w:val="000F31D7"/>
    <w:rsid w:val="000F4557"/>
    <w:rsid w:val="000F740C"/>
    <w:rsid w:val="0010629B"/>
    <w:rsid w:val="0010712E"/>
    <w:rsid w:val="001073A3"/>
    <w:rsid w:val="00110EF1"/>
    <w:rsid w:val="001113DC"/>
    <w:rsid w:val="0011377F"/>
    <w:rsid w:val="00114413"/>
    <w:rsid w:val="00114B58"/>
    <w:rsid w:val="00114D37"/>
    <w:rsid w:val="00122114"/>
    <w:rsid w:val="001221F0"/>
    <w:rsid w:val="00122B20"/>
    <w:rsid w:val="00124CC8"/>
    <w:rsid w:val="00124D0A"/>
    <w:rsid w:val="00124F11"/>
    <w:rsid w:val="0012613B"/>
    <w:rsid w:val="00131716"/>
    <w:rsid w:val="00132969"/>
    <w:rsid w:val="00132A84"/>
    <w:rsid w:val="00135271"/>
    <w:rsid w:val="0014289B"/>
    <w:rsid w:val="001433EC"/>
    <w:rsid w:val="001511B0"/>
    <w:rsid w:val="00153472"/>
    <w:rsid w:val="001545DC"/>
    <w:rsid w:val="0015679E"/>
    <w:rsid w:val="001569C5"/>
    <w:rsid w:val="00157A75"/>
    <w:rsid w:val="00162F91"/>
    <w:rsid w:val="00163655"/>
    <w:rsid w:val="00163998"/>
    <w:rsid w:val="001671F6"/>
    <w:rsid w:val="0016730A"/>
    <w:rsid w:val="00167E04"/>
    <w:rsid w:val="00171AAA"/>
    <w:rsid w:val="0017201D"/>
    <w:rsid w:val="00172354"/>
    <w:rsid w:val="00173D8C"/>
    <w:rsid w:val="00174332"/>
    <w:rsid w:val="00174962"/>
    <w:rsid w:val="00177C6A"/>
    <w:rsid w:val="00180B21"/>
    <w:rsid w:val="00180F90"/>
    <w:rsid w:val="0018277C"/>
    <w:rsid w:val="00182E7B"/>
    <w:rsid w:val="0018382C"/>
    <w:rsid w:val="00183BC1"/>
    <w:rsid w:val="00183DD2"/>
    <w:rsid w:val="0018519F"/>
    <w:rsid w:val="001864B1"/>
    <w:rsid w:val="001902CB"/>
    <w:rsid w:val="001903C7"/>
    <w:rsid w:val="00192225"/>
    <w:rsid w:val="00192304"/>
    <w:rsid w:val="00194541"/>
    <w:rsid w:val="00196E46"/>
    <w:rsid w:val="00196E91"/>
    <w:rsid w:val="00197F89"/>
    <w:rsid w:val="001A0270"/>
    <w:rsid w:val="001A0DAC"/>
    <w:rsid w:val="001A2222"/>
    <w:rsid w:val="001A3CA9"/>
    <w:rsid w:val="001B0A82"/>
    <w:rsid w:val="001B3E35"/>
    <w:rsid w:val="001B618C"/>
    <w:rsid w:val="001B7831"/>
    <w:rsid w:val="001C1449"/>
    <w:rsid w:val="001C233F"/>
    <w:rsid w:val="001D116B"/>
    <w:rsid w:val="001D2857"/>
    <w:rsid w:val="001D65D0"/>
    <w:rsid w:val="001E2046"/>
    <w:rsid w:val="001E5176"/>
    <w:rsid w:val="001F191A"/>
    <w:rsid w:val="001F1A1D"/>
    <w:rsid w:val="001F1E48"/>
    <w:rsid w:val="001F1E86"/>
    <w:rsid w:val="001F5751"/>
    <w:rsid w:val="001F5C6B"/>
    <w:rsid w:val="001F7B57"/>
    <w:rsid w:val="002000AD"/>
    <w:rsid w:val="00200865"/>
    <w:rsid w:val="00204EFA"/>
    <w:rsid w:val="002050C6"/>
    <w:rsid w:val="00212A6F"/>
    <w:rsid w:val="002143F3"/>
    <w:rsid w:val="00215C53"/>
    <w:rsid w:val="00216475"/>
    <w:rsid w:val="00217349"/>
    <w:rsid w:val="00221996"/>
    <w:rsid w:val="002231B1"/>
    <w:rsid w:val="00223A7C"/>
    <w:rsid w:val="002245C2"/>
    <w:rsid w:val="00227832"/>
    <w:rsid w:val="00227E97"/>
    <w:rsid w:val="00230704"/>
    <w:rsid w:val="002328E2"/>
    <w:rsid w:val="0023315C"/>
    <w:rsid w:val="00233C00"/>
    <w:rsid w:val="00233C4E"/>
    <w:rsid w:val="00236899"/>
    <w:rsid w:val="002446CE"/>
    <w:rsid w:val="00245C52"/>
    <w:rsid w:val="00246351"/>
    <w:rsid w:val="0024665B"/>
    <w:rsid w:val="0024699F"/>
    <w:rsid w:val="00246AA3"/>
    <w:rsid w:val="00246C1A"/>
    <w:rsid w:val="0024767B"/>
    <w:rsid w:val="00247B5D"/>
    <w:rsid w:val="002519FC"/>
    <w:rsid w:val="00253725"/>
    <w:rsid w:val="0025499A"/>
    <w:rsid w:val="00255478"/>
    <w:rsid w:val="00256FE5"/>
    <w:rsid w:val="00263D59"/>
    <w:rsid w:val="00264466"/>
    <w:rsid w:val="0026473C"/>
    <w:rsid w:val="00265890"/>
    <w:rsid w:val="002704DE"/>
    <w:rsid w:val="00270B11"/>
    <w:rsid w:val="00273D66"/>
    <w:rsid w:val="002752EA"/>
    <w:rsid w:val="0027645D"/>
    <w:rsid w:val="00280AFB"/>
    <w:rsid w:val="00281A92"/>
    <w:rsid w:val="0028453F"/>
    <w:rsid w:val="002865ED"/>
    <w:rsid w:val="00290707"/>
    <w:rsid w:val="00290A5E"/>
    <w:rsid w:val="00293A92"/>
    <w:rsid w:val="002A18C0"/>
    <w:rsid w:val="002A4001"/>
    <w:rsid w:val="002A72EE"/>
    <w:rsid w:val="002B1F85"/>
    <w:rsid w:val="002C0229"/>
    <w:rsid w:val="002C03A8"/>
    <w:rsid w:val="002C2B7F"/>
    <w:rsid w:val="002C3881"/>
    <w:rsid w:val="002C4173"/>
    <w:rsid w:val="002C672A"/>
    <w:rsid w:val="002D064E"/>
    <w:rsid w:val="002D21DB"/>
    <w:rsid w:val="002D3CA8"/>
    <w:rsid w:val="002D7611"/>
    <w:rsid w:val="002E1C74"/>
    <w:rsid w:val="002E21EC"/>
    <w:rsid w:val="002E3D86"/>
    <w:rsid w:val="002E51F2"/>
    <w:rsid w:val="00302D87"/>
    <w:rsid w:val="00304342"/>
    <w:rsid w:val="0030756E"/>
    <w:rsid w:val="003101D6"/>
    <w:rsid w:val="00312AF6"/>
    <w:rsid w:val="00313FDB"/>
    <w:rsid w:val="00314A35"/>
    <w:rsid w:val="00314FEB"/>
    <w:rsid w:val="00320868"/>
    <w:rsid w:val="00321FD0"/>
    <w:rsid w:val="00322AC9"/>
    <w:rsid w:val="003250BF"/>
    <w:rsid w:val="00325332"/>
    <w:rsid w:val="00332657"/>
    <w:rsid w:val="003330C3"/>
    <w:rsid w:val="003330E3"/>
    <w:rsid w:val="00334ED3"/>
    <w:rsid w:val="003379C9"/>
    <w:rsid w:val="003448F9"/>
    <w:rsid w:val="00346AFC"/>
    <w:rsid w:val="00347413"/>
    <w:rsid w:val="00347A1B"/>
    <w:rsid w:val="00350891"/>
    <w:rsid w:val="00351579"/>
    <w:rsid w:val="00352B77"/>
    <w:rsid w:val="00354140"/>
    <w:rsid w:val="00354FA4"/>
    <w:rsid w:val="0035547A"/>
    <w:rsid w:val="00355902"/>
    <w:rsid w:val="00357DC0"/>
    <w:rsid w:val="00361182"/>
    <w:rsid w:val="00364F66"/>
    <w:rsid w:val="00365C94"/>
    <w:rsid w:val="00370AEF"/>
    <w:rsid w:val="003719D5"/>
    <w:rsid w:val="00372E74"/>
    <w:rsid w:val="00372F75"/>
    <w:rsid w:val="00374D2D"/>
    <w:rsid w:val="00374F83"/>
    <w:rsid w:val="00375D46"/>
    <w:rsid w:val="00376028"/>
    <w:rsid w:val="00376742"/>
    <w:rsid w:val="00377CBB"/>
    <w:rsid w:val="003835AF"/>
    <w:rsid w:val="00385AEE"/>
    <w:rsid w:val="003879C5"/>
    <w:rsid w:val="00393237"/>
    <w:rsid w:val="00395202"/>
    <w:rsid w:val="003956AC"/>
    <w:rsid w:val="003959DE"/>
    <w:rsid w:val="00395AE3"/>
    <w:rsid w:val="003A3970"/>
    <w:rsid w:val="003B0C32"/>
    <w:rsid w:val="003B0E8B"/>
    <w:rsid w:val="003B1979"/>
    <w:rsid w:val="003B19D0"/>
    <w:rsid w:val="003B2D16"/>
    <w:rsid w:val="003B4480"/>
    <w:rsid w:val="003B7A57"/>
    <w:rsid w:val="003C30F2"/>
    <w:rsid w:val="003C5678"/>
    <w:rsid w:val="003C56A8"/>
    <w:rsid w:val="003C5923"/>
    <w:rsid w:val="003C5B7C"/>
    <w:rsid w:val="003C6C2B"/>
    <w:rsid w:val="003C7CBE"/>
    <w:rsid w:val="003D0196"/>
    <w:rsid w:val="003D0224"/>
    <w:rsid w:val="003D0542"/>
    <w:rsid w:val="003D15A5"/>
    <w:rsid w:val="003D1E33"/>
    <w:rsid w:val="003D2A3E"/>
    <w:rsid w:val="003D4DD4"/>
    <w:rsid w:val="003E0A3C"/>
    <w:rsid w:val="003E20FC"/>
    <w:rsid w:val="003E3F8B"/>
    <w:rsid w:val="003E426E"/>
    <w:rsid w:val="003E5277"/>
    <w:rsid w:val="003E54B5"/>
    <w:rsid w:val="003E57AA"/>
    <w:rsid w:val="003E69F4"/>
    <w:rsid w:val="003F2407"/>
    <w:rsid w:val="003F39A5"/>
    <w:rsid w:val="003F5F8A"/>
    <w:rsid w:val="003F6887"/>
    <w:rsid w:val="003F7EB1"/>
    <w:rsid w:val="00400363"/>
    <w:rsid w:val="00402151"/>
    <w:rsid w:val="004048E1"/>
    <w:rsid w:val="00405BF5"/>
    <w:rsid w:val="00406A2D"/>
    <w:rsid w:val="00407319"/>
    <w:rsid w:val="0040761A"/>
    <w:rsid w:val="00411617"/>
    <w:rsid w:val="00415209"/>
    <w:rsid w:val="0041547D"/>
    <w:rsid w:val="0041737A"/>
    <w:rsid w:val="0041762A"/>
    <w:rsid w:val="00420FE0"/>
    <w:rsid w:val="00424B02"/>
    <w:rsid w:val="00426B66"/>
    <w:rsid w:val="00430F0A"/>
    <w:rsid w:val="00431CDE"/>
    <w:rsid w:val="00432F90"/>
    <w:rsid w:val="00433AED"/>
    <w:rsid w:val="00436AE7"/>
    <w:rsid w:val="00437AED"/>
    <w:rsid w:val="00440EB9"/>
    <w:rsid w:val="0044132E"/>
    <w:rsid w:val="00441A9C"/>
    <w:rsid w:val="00445820"/>
    <w:rsid w:val="004510ED"/>
    <w:rsid w:val="00452AEB"/>
    <w:rsid w:val="00455384"/>
    <w:rsid w:val="00455919"/>
    <w:rsid w:val="0045674C"/>
    <w:rsid w:val="004578E8"/>
    <w:rsid w:val="00460EAB"/>
    <w:rsid w:val="00464497"/>
    <w:rsid w:val="00464896"/>
    <w:rsid w:val="00464B61"/>
    <w:rsid w:val="00465B9E"/>
    <w:rsid w:val="004676C9"/>
    <w:rsid w:val="00473BD8"/>
    <w:rsid w:val="004766F7"/>
    <w:rsid w:val="004779A3"/>
    <w:rsid w:val="00477DC0"/>
    <w:rsid w:val="00483CFC"/>
    <w:rsid w:val="004840C0"/>
    <w:rsid w:val="0048492D"/>
    <w:rsid w:val="004849F8"/>
    <w:rsid w:val="00486460"/>
    <w:rsid w:val="00490C06"/>
    <w:rsid w:val="0049368C"/>
    <w:rsid w:val="004945A0"/>
    <w:rsid w:val="004A0DF2"/>
    <w:rsid w:val="004A2462"/>
    <w:rsid w:val="004A27B2"/>
    <w:rsid w:val="004A7A32"/>
    <w:rsid w:val="004B1BC0"/>
    <w:rsid w:val="004B245F"/>
    <w:rsid w:val="004B3E71"/>
    <w:rsid w:val="004B417F"/>
    <w:rsid w:val="004B4D3E"/>
    <w:rsid w:val="004B577C"/>
    <w:rsid w:val="004B68A5"/>
    <w:rsid w:val="004B720B"/>
    <w:rsid w:val="004B7B1B"/>
    <w:rsid w:val="004C2A9C"/>
    <w:rsid w:val="004C4F5F"/>
    <w:rsid w:val="004D0AF8"/>
    <w:rsid w:val="004D1AAE"/>
    <w:rsid w:val="004D2171"/>
    <w:rsid w:val="004D3AF0"/>
    <w:rsid w:val="004E2023"/>
    <w:rsid w:val="004E65C6"/>
    <w:rsid w:val="004F15AB"/>
    <w:rsid w:val="004F1B1D"/>
    <w:rsid w:val="004F7A7A"/>
    <w:rsid w:val="0050297F"/>
    <w:rsid w:val="00504B12"/>
    <w:rsid w:val="005079D9"/>
    <w:rsid w:val="005116C6"/>
    <w:rsid w:val="005161B4"/>
    <w:rsid w:val="005175D2"/>
    <w:rsid w:val="005179E7"/>
    <w:rsid w:val="0052120E"/>
    <w:rsid w:val="00521E93"/>
    <w:rsid w:val="00524C2F"/>
    <w:rsid w:val="00527024"/>
    <w:rsid w:val="00530066"/>
    <w:rsid w:val="00532FAF"/>
    <w:rsid w:val="00533563"/>
    <w:rsid w:val="00533A75"/>
    <w:rsid w:val="00533F8E"/>
    <w:rsid w:val="005373FB"/>
    <w:rsid w:val="005379C0"/>
    <w:rsid w:val="0054260B"/>
    <w:rsid w:val="00546E83"/>
    <w:rsid w:val="005473B1"/>
    <w:rsid w:val="005473C9"/>
    <w:rsid w:val="00553BF5"/>
    <w:rsid w:val="00555B64"/>
    <w:rsid w:val="00555E78"/>
    <w:rsid w:val="00557065"/>
    <w:rsid w:val="00557567"/>
    <w:rsid w:val="00557BDE"/>
    <w:rsid w:val="005608C8"/>
    <w:rsid w:val="0056096D"/>
    <w:rsid w:val="00560AB5"/>
    <w:rsid w:val="00563EAD"/>
    <w:rsid w:val="005660E8"/>
    <w:rsid w:val="00567DD0"/>
    <w:rsid w:val="005704BF"/>
    <w:rsid w:val="00570F23"/>
    <w:rsid w:val="0057164F"/>
    <w:rsid w:val="0057261D"/>
    <w:rsid w:val="005728D1"/>
    <w:rsid w:val="00573C3A"/>
    <w:rsid w:val="00574AA0"/>
    <w:rsid w:val="005775BD"/>
    <w:rsid w:val="005818DD"/>
    <w:rsid w:val="00582601"/>
    <w:rsid w:val="005828C0"/>
    <w:rsid w:val="00585265"/>
    <w:rsid w:val="005863AE"/>
    <w:rsid w:val="00590121"/>
    <w:rsid w:val="005931EB"/>
    <w:rsid w:val="00594570"/>
    <w:rsid w:val="00594EAE"/>
    <w:rsid w:val="005957D4"/>
    <w:rsid w:val="005971E6"/>
    <w:rsid w:val="00597289"/>
    <w:rsid w:val="00597AF9"/>
    <w:rsid w:val="005A12D0"/>
    <w:rsid w:val="005A2DE1"/>
    <w:rsid w:val="005A33AC"/>
    <w:rsid w:val="005A572E"/>
    <w:rsid w:val="005A68BF"/>
    <w:rsid w:val="005B02D6"/>
    <w:rsid w:val="005B07D0"/>
    <w:rsid w:val="005B390F"/>
    <w:rsid w:val="005B3B6E"/>
    <w:rsid w:val="005C1B09"/>
    <w:rsid w:val="005C4107"/>
    <w:rsid w:val="005C498B"/>
    <w:rsid w:val="005D0020"/>
    <w:rsid w:val="005D2894"/>
    <w:rsid w:val="005E227F"/>
    <w:rsid w:val="005E28EE"/>
    <w:rsid w:val="005E2A63"/>
    <w:rsid w:val="005E36C0"/>
    <w:rsid w:val="005E3E46"/>
    <w:rsid w:val="005E5E12"/>
    <w:rsid w:val="005F12C9"/>
    <w:rsid w:val="005F2726"/>
    <w:rsid w:val="005F2758"/>
    <w:rsid w:val="005F2BF7"/>
    <w:rsid w:val="005F4FA8"/>
    <w:rsid w:val="005F5AE7"/>
    <w:rsid w:val="005F6095"/>
    <w:rsid w:val="005F732A"/>
    <w:rsid w:val="00601157"/>
    <w:rsid w:val="006016D2"/>
    <w:rsid w:val="006018C0"/>
    <w:rsid w:val="00601D63"/>
    <w:rsid w:val="0060355E"/>
    <w:rsid w:val="006036B1"/>
    <w:rsid w:val="00610A0C"/>
    <w:rsid w:val="006130DA"/>
    <w:rsid w:val="00614165"/>
    <w:rsid w:val="00614D73"/>
    <w:rsid w:val="00615B5E"/>
    <w:rsid w:val="0061650C"/>
    <w:rsid w:val="006173B9"/>
    <w:rsid w:val="006175CC"/>
    <w:rsid w:val="00617F86"/>
    <w:rsid w:val="00621F37"/>
    <w:rsid w:val="00621F66"/>
    <w:rsid w:val="0062340B"/>
    <w:rsid w:val="006245DA"/>
    <w:rsid w:val="00626F82"/>
    <w:rsid w:val="00627C72"/>
    <w:rsid w:val="00630A1A"/>
    <w:rsid w:val="00636072"/>
    <w:rsid w:val="006417CF"/>
    <w:rsid w:val="006419FC"/>
    <w:rsid w:val="00641AEC"/>
    <w:rsid w:val="006442A1"/>
    <w:rsid w:val="00647EE9"/>
    <w:rsid w:val="006529F6"/>
    <w:rsid w:val="00652E8B"/>
    <w:rsid w:val="00653807"/>
    <w:rsid w:val="00655AE4"/>
    <w:rsid w:val="00660202"/>
    <w:rsid w:val="006669F5"/>
    <w:rsid w:val="006700DA"/>
    <w:rsid w:val="0067259E"/>
    <w:rsid w:val="00674BC8"/>
    <w:rsid w:val="00674FC9"/>
    <w:rsid w:val="00675ADB"/>
    <w:rsid w:val="0067782D"/>
    <w:rsid w:val="00677D08"/>
    <w:rsid w:val="00680E20"/>
    <w:rsid w:val="00682275"/>
    <w:rsid w:val="00683F23"/>
    <w:rsid w:val="00683F93"/>
    <w:rsid w:val="0068731B"/>
    <w:rsid w:val="00690607"/>
    <w:rsid w:val="006908A4"/>
    <w:rsid w:val="00690D12"/>
    <w:rsid w:val="0069137E"/>
    <w:rsid w:val="00697A90"/>
    <w:rsid w:val="006A0D6D"/>
    <w:rsid w:val="006A2370"/>
    <w:rsid w:val="006A73D5"/>
    <w:rsid w:val="006B3055"/>
    <w:rsid w:val="006C0E24"/>
    <w:rsid w:val="006C12A3"/>
    <w:rsid w:val="006C26A3"/>
    <w:rsid w:val="006C2D91"/>
    <w:rsid w:val="006C5059"/>
    <w:rsid w:val="006C5C18"/>
    <w:rsid w:val="006D117A"/>
    <w:rsid w:val="006D39DB"/>
    <w:rsid w:val="006D5B39"/>
    <w:rsid w:val="006E0776"/>
    <w:rsid w:val="006E0CC7"/>
    <w:rsid w:val="006E1A87"/>
    <w:rsid w:val="006E30FA"/>
    <w:rsid w:val="006E5A88"/>
    <w:rsid w:val="006F3014"/>
    <w:rsid w:val="007034EC"/>
    <w:rsid w:val="00705D9F"/>
    <w:rsid w:val="00711E06"/>
    <w:rsid w:val="0071400A"/>
    <w:rsid w:val="00715FD2"/>
    <w:rsid w:val="007175EB"/>
    <w:rsid w:val="00717ED7"/>
    <w:rsid w:val="007205E7"/>
    <w:rsid w:val="00723183"/>
    <w:rsid w:val="007241F8"/>
    <w:rsid w:val="00725253"/>
    <w:rsid w:val="007261BB"/>
    <w:rsid w:val="0072623E"/>
    <w:rsid w:val="007273FB"/>
    <w:rsid w:val="00731EE9"/>
    <w:rsid w:val="0073254A"/>
    <w:rsid w:val="00732E15"/>
    <w:rsid w:val="00733396"/>
    <w:rsid w:val="007339E6"/>
    <w:rsid w:val="00736857"/>
    <w:rsid w:val="00736C96"/>
    <w:rsid w:val="00742FA1"/>
    <w:rsid w:val="007431AF"/>
    <w:rsid w:val="0074423D"/>
    <w:rsid w:val="0074453E"/>
    <w:rsid w:val="0074617A"/>
    <w:rsid w:val="007468FF"/>
    <w:rsid w:val="00746E4E"/>
    <w:rsid w:val="007508EA"/>
    <w:rsid w:val="00750D76"/>
    <w:rsid w:val="00751EE2"/>
    <w:rsid w:val="0075358E"/>
    <w:rsid w:val="007602CD"/>
    <w:rsid w:val="00760876"/>
    <w:rsid w:val="00761F0A"/>
    <w:rsid w:val="0076309C"/>
    <w:rsid w:val="00763578"/>
    <w:rsid w:val="007639D5"/>
    <w:rsid w:val="00767E55"/>
    <w:rsid w:val="00770A5D"/>
    <w:rsid w:val="00771FA3"/>
    <w:rsid w:val="0077585F"/>
    <w:rsid w:val="00775A91"/>
    <w:rsid w:val="00780140"/>
    <w:rsid w:val="0078019A"/>
    <w:rsid w:val="00784484"/>
    <w:rsid w:val="00786B7A"/>
    <w:rsid w:val="00787906"/>
    <w:rsid w:val="0079168B"/>
    <w:rsid w:val="0079717E"/>
    <w:rsid w:val="00797B79"/>
    <w:rsid w:val="007A2D3A"/>
    <w:rsid w:val="007A4AFA"/>
    <w:rsid w:val="007A55A5"/>
    <w:rsid w:val="007A56CF"/>
    <w:rsid w:val="007B19A9"/>
    <w:rsid w:val="007B44E8"/>
    <w:rsid w:val="007B7F03"/>
    <w:rsid w:val="007C1E3A"/>
    <w:rsid w:val="007C540F"/>
    <w:rsid w:val="007C6B15"/>
    <w:rsid w:val="007D024A"/>
    <w:rsid w:val="007D1E42"/>
    <w:rsid w:val="007D2ECF"/>
    <w:rsid w:val="007D3530"/>
    <w:rsid w:val="007D366A"/>
    <w:rsid w:val="007D3D36"/>
    <w:rsid w:val="007D48E2"/>
    <w:rsid w:val="007D4F65"/>
    <w:rsid w:val="007D732E"/>
    <w:rsid w:val="007D7366"/>
    <w:rsid w:val="007D77D2"/>
    <w:rsid w:val="007D7E56"/>
    <w:rsid w:val="007F20C3"/>
    <w:rsid w:val="007F2825"/>
    <w:rsid w:val="007F4DA6"/>
    <w:rsid w:val="007F5ED1"/>
    <w:rsid w:val="007F6E72"/>
    <w:rsid w:val="00800CEC"/>
    <w:rsid w:val="00801B0A"/>
    <w:rsid w:val="00801DA0"/>
    <w:rsid w:val="00802CB3"/>
    <w:rsid w:val="00804738"/>
    <w:rsid w:val="00805E2F"/>
    <w:rsid w:val="0080652A"/>
    <w:rsid w:val="00807FB2"/>
    <w:rsid w:val="00812231"/>
    <w:rsid w:val="008133DC"/>
    <w:rsid w:val="00813494"/>
    <w:rsid w:val="00814046"/>
    <w:rsid w:val="008145C5"/>
    <w:rsid w:val="008146C7"/>
    <w:rsid w:val="008166EA"/>
    <w:rsid w:val="00817011"/>
    <w:rsid w:val="0081727D"/>
    <w:rsid w:val="00817EF7"/>
    <w:rsid w:val="008205A6"/>
    <w:rsid w:val="008206D6"/>
    <w:rsid w:val="0082322E"/>
    <w:rsid w:val="0082339C"/>
    <w:rsid w:val="0082483E"/>
    <w:rsid w:val="008252D7"/>
    <w:rsid w:val="008309F0"/>
    <w:rsid w:val="00834AC9"/>
    <w:rsid w:val="008368E0"/>
    <w:rsid w:val="00840534"/>
    <w:rsid w:val="00843A06"/>
    <w:rsid w:val="00844096"/>
    <w:rsid w:val="00845BCE"/>
    <w:rsid w:val="00850B7B"/>
    <w:rsid w:val="00850BCC"/>
    <w:rsid w:val="00854F34"/>
    <w:rsid w:val="00855108"/>
    <w:rsid w:val="008613BD"/>
    <w:rsid w:val="00863239"/>
    <w:rsid w:val="008716EF"/>
    <w:rsid w:val="00872319"/>
    <w:rsid w:val="00873898"/>
    <w:rsid w:val="00875777"/>
    <w:rsid w:val="00876598"/>
    <w:rsid w:val="00876E9A"/>
    <w:rsid w:val="00880254"/>
    <w:rsid w:val="00881425"/>
    <w:rsid w:val="00882944"/>
    <w:rsid w:val="00883102"/>
    <w:rsid w:val="00884598"/>
    <w:rsid w:val="00884C95"/>
    <w:rsid w:val="008865DC"/>
    <w:rsid w:val="0089077B"/>
    <w:rsid w:val="00892122"/>
    <w:rsid w:val="00895C8A"/>
    <w:rsid w:val="00897687"/>
    <w:rsid w:val="008A1A4D"/>
    <w:rsid w:val="008A1D5F"/>
    <w:rsid w:val="008A3023"/>
    <w:rsid w:val="008A3CE1"/>
    <w:rsid w:val="008A64E2"/>
    <w:rsid w:val="008B1475"/>
    <w:rsid w:val="008B4CCB"/>
    <w:rsid w:val="008B7E4E"/>
    <w:rsid w:val="008C40B1"/>
    <w:rsid w:val="008C579F"/>
    <w:rsid w:val="008D023F"/>
    <w:rsid w:val="008D0AEC"/>
    <w:rsid w:val="008D2E89"/>
    <w:rsid w:val="008D5A85"/>
    <w:rsid w:val="008E233A"/>
    <w:rsid w:val="008E49A5"/>
    <w:rsid w:val="008E50C4"/>
    <w:rsid w:val="008E71B5"/>
    <w:rsid w:val="008F0526"/>
    <w:rsid w:val="008F09AA"/>
    <w:rsid w:val="008F5FAE"/>
    <w:rsid w:val="008F6323"/>
    <w:rsid w:val="00902636"/>
    <w:rsid w:val="00906069"/>
    <w:rsid w:val="009078F9"/>
    <w:rsid w:val="00913047"/>
    <w:rsid w:val="009141BA"/>
    <w:rsid w:val="00916919"/>
    <w:rsid w:val="00920F02"/>
    <w:rsid w:val="0092179E"/>
    <w:rsid w:val="00924F31"/>
    <w:rsid w:val="00930813"/>
    <w:rsid w:val="00930D2F"/>
    <w:rsid w:val="00930F45"/>
    <w:rsid w:val="0093475E"/>
    <w:rsid w:val="009353B0"/>
    <w:rsid w:val="00937017"/>
    <w:rsid w:val="00937175"/>
    <w:rsid w:val="0094107E"/>
    <w:rsid w:val="0094273A"/>
    <w:rsid w:val="009431D9"/>
    <w:rsid w:val="0094323E"/>
    <w:rsid w:val="00944234"/>
    <w:rsid w:val="00944A52"/>
    <w:rsid w:val="00947BA4"/>
    <w:rsid w:val="009500D2"/>
    <w:rsid w:val="00950A8A"/>
    <w:rsid w:val="00952C6A"/>
    <w:rsid w:val="00954704"/>
    <w:rsid w:val="0096183F"/>
    <w:rsid w:val="00962F1E"/>
    <w:rsid w:val="009638AB"/>
    <w:rsid w:val="00963ABA"/>
    <w:rsid w:val="00964DA0"/>
    <w:rsid w:val="0096532C"/>
    <w:rsid w:val="00965ECB"/>
    <w:rsid w:val="00970415"/>
    <w:rsid w:val="009711A0"/>
    <w:rsid w:val="0097122A"/>
    <w:rsid w:val="0097238C"/>
    <w:rsid w:val="0097402E"/>
    <w:rsid w:val="009748DB"/>
    <w:rsid w:val="009752E5"/>
    <w:rsid w:val="00976112"/>
    <w:rsid w:val="00976836"/>
    <w:rsid w:val="00977C17"/>
    <w:rsid w:val="00977CF6"/>
    <w:rsid w:val="00980188"/>
    <w:rsid w:val="0098041D"/>
    <w:rsid w:val="00981F8E"/>
    <w:rsid w:val="009825CD"/>
    <w:rsid w:val="00982B9E"/>
    <w:rsid w:val="00983270"/>
    <w:rsid w:val="00991813"/>
    <w:rsid w:val="00991C96"/>
    <w:rsid w:val="009929D9"/>
    <w:rsid w:val="009A46BC"/>
    <w:rsid w:val="009A67D6"/>
    <w:rsid w:val="009A76B5"/>
    <w:rsid w:val="009B132A"/>
    <w:rsid w:val="009B6356"/>
    <w:rsid w:val="009B6911"/>
    <w:rsid w:val="009C2375"/>
    <w:rsid w:val="009C727C"/>
    <w:rsid w:val="009C7457"/>
    <w:rsid w:val="009C7B4A"/>
    <w:rsid w:val="009D0E72"/>
    <w:rsid w:val="009D18DC"/>
    <w:rsid w:val="009D2F37"/>
    <w:rsid w:val="009D41DF"/>
    <w:rsid w:val="009D5625"/>
    <w:rsid w:val="009E13F8"/>
    <w:rsid w:val="009E242C"/>
    <w:rsid w:val="009E2896"/>
    <w:rsid w:val="009E2FAF"/>
    <w:rsid w:val="009E385D"/>
    <w:rsid w:val="009E4485"/>
    <w:rsid w:val="009E4795"/>
    <w:rsid w:val="009E5C24"/>
    <w:rsid w:val="009E5EC1"/>
    <w:rsid w:val="009E6672"/>
    <w:rsid w:val="009F11DE"/>
    <w:rsid w:val="009F2AB1"/>
    <w:rsid w:val="009F358D"/>
    <w:rsid w:val="009F3A72"/>
    <w:rsid w:val="009F44A8"/>
    <w:rsid w:val="009F46A0"/>
    <w:rsid w:val="009F5557"/>
    <w:rsid w:val="00A0408C"/>
    <w:rsid w:val="00A052E0"/>
    <w:rsid w:val="00A073AC"/>
    <w:rsid w:val="00A07D4C"/>
    <w:rsid w:val="00A11EE7"/>
    <w:rsid w:val="00A21451"/>
    <w:rsid w:val="00A2190F"/>
    <w:rsid w:val="00A22AE7"/>
    <w:rsid w:val="00A24020"/>
    <w:rsid w:val="00A24E55"/>
    <w:rsid w:val="00A26E81"/>
    <w:rsid w:val="00A301AD"/>
    <w:rsid w:val="00A30E80"/>
    <w:rsid w:val="00A312AF"/>
    <w:rsid w:val="00A33F73"/>
    <w:rsid w:val="00A40386"/>
    <w:rsid w:val="00A407F7"/>
    <w:rsid w:val="00A448FE"/>
    <w:rsid w:val="00A44C03"/>
    <w:rsid w:val="00A46005"/>
    <w:rsid w:val="00A46131"/>
    <w:rsid w:val="00A46C89"/>
    <w:rsid w:val="00A525EF"/>
    <w:rsid w:val="00A53A76"/>
    <w:rsid w:val="00A54F01"/>
    <w:rsid w:val="00A55AAB"/>
    <w:rsid w:val="00A604E7"/>
    <w:rsid w:val="00A62173"/>
    <w:rsid w:val="00A64AE8"/>
    <w:rsid w:val="00A72687"/>
    <w:rsid w:val="00A732A9"/>
    <w:rsid w:val="00A75626"/>
    <w:rsid w:val="00A75C47"/>
    <w:rsid w:val="00A76318"/>
    <w:rsid w:val="00A8329D"/>
    <w:rsid w:val="00A834F1"/>
    <w:rsid w:val="00A842DC"/>
    <w:rsid w:val="00A84DEC"/>
    <w:rsid w:val="00A85AE5"/>
    <w:rsid w:val="00A86C1C"/>
    <w:rsid w:val="00A9032E"/>
    <w:rsid w:val="00A9073C"/>
    <w:rsid w:val="00A94AFA"/>
    <w:rsid w:val="00A975F3"/>
    <w:rsid w:val="00A97C0D"/>
    <w:rsid w:val="00AA20E3"/>
    <w:rsid w:val="00AA39E8"/>
    <w:rsid w:val="00AA3AA7"/>
    <w:rsid w:val="00AB01D8"/>
    <w:rsid w:val="00AB143C"/>
    <w:rsid w:val="00AB2D4E"/>
    <w:rsid w:val="00AB2D7E"/>
    <w:rsid w:val="00AB560A"/>
    <w:rsid w:val="00AB70E3"/>
    <w:rsid w:val="00AC0C24"/>
    <w:rsid w:val="00AC2D05"/>
    <w:rsid w:val="00AC3132"/>
    <w:rsid w:val="00AC3187"/>
    <w:rsid w:val="00AC47FE"/>
    <w:rsid w:val="00AC76A0"/>
    <w:rsid w:val="00AD2B0B"/>
    <w:rsid w:val="00AD3210"/>
    <w:rsid w:val="00AD4459"/>
    <w:rsid w:val="00AD5F99"/>
    <w:rsid w:val="00AD67E6"/>
    <w:rsid w:val="00AD74C3"/>
    <w:rsid w:val="00AE1C31"/>
    <w:rsid w:val="00AE28C0"/>
    <w:rsid w:val="00AE3B3C"/>
    <w:rsid w:val="00AE56E0"/>
    <w:rsid w:val="00AE6C9B"/>
    <w:rsid w:val="00AF55C5"/>
    <w:rsid w:val="00B00842"/>
    <w:rsid w:val="00B0195E"/>
    <w:rsid w:val="00B043B2"/>
    <w:rsid w:val="00B10852"/>
    <w:rsid w:val="00B12061"/>
    <w:rsid w:val="00B1564F"/>
    <w:rsid w:val="00B1571D"/>
    <w:rsid w:val="00B16887"/>
    <w:rsid w:val="00B24D63"/>
    <w:rsid w:val="00B40CB0"/>
    <w:rsid w:val="00B40D32"/>
    <w:rsid w:val="00B41F09"/>
    <w:rsid w:val="00B439BB"/>
    <w:rsid w:val="00B52728"/>
    <w:rsid w:val="00B529CD"/>
    <w:rsid w:val="00B5309C"/>
    <w:rsid w:val="00B5394A"/>
    <w:rsid w:val="00B54416"/>
    <w:rsid w:val="00B576C5"/>
    <w:rsid w:val="00B619B3"/>
    <w:rsid w:val="00B631FD"/>
    <w:rsid w:val="00B633BC"/>
    <w:rsid w:val="00B64CB1"/>
    <w:rsid w:val="00B655E8"/>
    <w:rsid w:val="00B6643E"/>
    <w:rsid w:val="00B677EB"/>
    <w:rsid w:val="00B71D69"/>
    <w:rsid w:val="00B73294"/>
    <w:rsid w:val="00B77E6C"/>
    <w:rsid w:val="00B80386"/>
    <w:rsid w:val="00B80794"/>
    <w:rsid w:val="00B81CE5"/>
    <w:rsid w:val="00B82881"/>
    <w:rsid w:val="00B86318"/>
    <w:rsid w:val="00B864AA"/>
    <w:rsid w:val="00B86849"/>
    <w:rsid w:val="00B868F5"/>
    <w:rsid w:val="00B869B9"/>
    <w:rsid w:val="00B86FFF"/>
    <w:rsid w:val="00B876D9"/>
    <w:rsid w:val="00B9081F"/>
    <w:rsid w:val="00B90AB1"/>
    <w:rsid w:val="00B912D0"/>
    <w:rsid w:val="00B91B55"/>
    <w:rsid w:val="00BA43D1"/>
    <w:rsid w:val="00BA5297"/>
    <w:rsid w:val="00BA5615"/>
    <w:rsid w:val="00BA779C"/>
    <w:rsid w:val="00BB1317"/>
    <w:rsid w:val="00BB16A3"/>
    <w:rsid w:val="00BB31BD"/>
    <w:rsid w:val="00BB3CCA"/>
    <w:rsid w:val="00BB63B1"/>
    <w:rsid w:val="00BB7826"/>
    <w:rsid w:val="00BB7D64"/>
    <w:rsid w:val="00BC0906"/>
    <w:rsid w:val="00BC2651"/>
    <w:rsid w:val="00BC3967"/>
    <w:rsid w:val="00BD4118"/>
    <w:rsid w:val="00BE0C30"/>
    <w:rsid w:val="00BE22BA"/>
    <w:rsid w:val="00BE3AFD"/>
    <w:rsid w:val="00BE511A"/>
    <w:rsid w:val="00BE5E92"/>
    <w:rsid w:val="00BE6389"/>
    <w:rsid w:val="00BF2D9B"/>
    <w:rsid w:val="00BF6ECE"/>
    <w:rsid w:val="00BF751C"/>
    <w:rsid w:val="00BF7E6F"/>
    <w:rsid w:val="00C02B05"/>
    <w:rsid w:val="00C03E69"/>
    <w:rsid w:val="00C045DB"/>
    <w:rsid w:val="00C048D0"/>
    <w:rsid w:val="00C07348"/>
    <w:rsid w:val="00C07B16"/>
    <w:rsid w:val="00C11DA3"/>
    <w:rsid w:val="00C120A6"/>
    <w:rsid w:val="00C13F99"/>
    <w:rsid w:val="00C150B0"/>
    <w:rsid w:val="00C20562"/>
    <w:rsid w:val="00C21B75"/>
    <w:rsid w:val="00C22120"/>
    <w:rsid w:val="00C2261B"/>
    <w:rsid w:val="00C25F73"/>
    <w:rsid w:val="00C2692B"/>
    <w:rsid w:val="00C269A2"/>
    <w:rsid w:val="00C27255"/>
    <w:rsid w:val="00C2769A"/>
    <w:rsid w:val="00C3126A"/>
    <w:rsid w:val="00C32CAD"/>
    <w:rsid w:val="00C33B3F"/>
    <w:rsid w:val="00C40116"/>
    <w:rsid w:val="00C42156"/>
    <w:rsid w:val="00C42AB9"/>
    <w:rsid w:val="00C44087"/>
    <w:rsid w:val="00C4437F"/>
    <w:rsid w:val="00C4518B"/>
    <w:rsid w:val="00C46473"/>
    <w:rsid w:val="00C46747"/>
    <w:rsid w:val="00C47257"/>
    <w:rsid w:val="00C5015C"/>
    <w:rsid w:val="00C51B17"/>
    <w:rsid w:val="00C5236C"/>
    <w:rsid w:val="00C52E42"/>
    <w:rsid w:val="00C53B04"/>
    <w:rsid w:val="00C54DA4"/>
    <w:rsid w:val="00C55BB4"/>
    <w:rsid w:val="00C55F68"/>
    <w:rsid w:val="00C56985"/>
    <w:rsid w:val="00C5787C"/>
    <w:rsid w:val="00C60F34"/>
    <w:rsid w:val="00C631EF"/>
    <w:rsid w:val="00C6325F"/>
    <w:rsid w:val="00C63C36"/>
    <w:rsid w:val="00C64492"/>
    <w:rsid w:val="00C71361"/>
    <w:rsid w:val="00C721D0"/>
    <w:rsid w:val="00C7786B"/>
    <w:rsid w:val="00C8048C"/>
    <w:rsid w:val="00C8321A"/>
    <w:rsid w:val="00C83FCF"/>
    <w:rsid w:val="00C84309"/>
    <w:rsid w:val="00C8519F"/>
    <w:rsid w:val="00C86C78"/>
    <w:rsid w:val="00C900AD"/>
    <w:rsid w:val="00C912D1"/>
    <w:rsid w:val="00C91953"/>
    <w:rsid w:val="00C932B4"/>
    <w:rsid w:val="00C94981"/>
    <w:rsid w:val="00C96F4E"/>
    <w:rsid w:val="00C9741D"/>
    <w:rsid w:val="00CA31C0"/>
    <w:rsid w:val="00CA326B"/>
    <w:rsid w:val="00CA4EAC"/>
    <w:rsid w:val="00CA4FF1"/>
    <w:rsid w:val="00CA5C33"/>
    <w:rsid w:val="00CA7BBD"/>
    <w:rsid w:val="00CB31E6"/>
    <w:rsid w:val="00CB57B4"/>
    <w:rsid w:val="00CB5C98"/>
    <w:rsid w:val="00CB6C05"/>
    <w:rsid w:val="00CC02AC"/>
    <w:rsid w:val="00CC45A4"/>
    <w:rsid w:val="00CC59CB"/>
    <w:rsid w:val="00CC705B"/>
    <w:rsid w:val="00CD0D6F"/>
    <w:rsid w:val="00CD0FE5"/>
    <w:rsid w:val="00CD1E75"/>
    <w:rsid w:val="00CD3738"/>
    <w:rsid w:val="00CD3D9F"/>
    <w:rsid w:val="00CD4389"/>
    <w:rsid w:val="00CD53DE"/>
    <w:rsid w:val="00CD5891"/>
    <w:rsid w:val="00CD6F15"/>
    <w:rsid w:val="00CE1FAD"/>
    <w:rsid w:val="00CE2977"/>
    <w:rsid w:val="00CF24CB"/>
    <w:rsid w:val="00CF6DF0"/>
    <w:rsid w:val="00CF71D6"/>
    <w:rsid w:val="00D03B5C"/>
    <w:rsid w:val="00D050D1"/>
    <w:rsid w:val="00D05173"/>
    <w:rsid w:val="00D05927"/>
    <w:rsid w:val="00D05B14"/>
    <w:rsid w:val="00D070F2"/>
    <w:rsid w:val="00D117F8"/>
    <w:rsid w:val="00D229E7"/>
    <w:rsid w:val="00D22C6B"/>
    <w:rsid w:val="00D24A7E"/>
    <w:rsid w:val="00D263B2"/>
    <w:rsid w:val="00D27CB3"/>
    <w:rsid w:val="00D30AD4"/>
    <w:rsid w:val="00D32244"/>
    <w:rsid w:val="00D33527"/>
    <w:rsid w:val="00D34936"/>
    <w:rsid w:val="00D42767"/>
    <w:rsid w:val="00D4279A"/>
    <w:rsid w:val="00D52715"/>
    <w:rsid w:val="00D534F7"/>
    <w:rsid w:val="00D55338"/>
    <w:rsid w:val="00D61ADA"/>
    <w:rsid w:val="00D63C08"/>
    <w:rsid w:val="00D67412"/>
    <w:rsid w:val="00D70A9B"/>
    <w:rsid w:val="00D71FB9"/>
    <w:rsid w:val="00D736D7"/>
    <w:rsid w:val="00D769F1"/>
    <w:rsid w:val="00D80D44"/>
    <w:rsid w:val="00D841DA"/>
    <w:rsid w:val="00D84F12"/>
    <w:rsid w:val="00D874A5"/>
    <w:rsid w:val="00D94452"/>
    <w:rsid w:val="00D94CFD"/>
    <w:rsid w:val="00D96446"/>
    <w:rsid w:val="00D9661D"/>
    <w:rsid w:val="00D967A2"/>
    <w:rsid w:val="00D96C98"/>
    <w:rsid w:val="00DA6239"/>
    <w:rsid w:val="00DA6E71"/>
    <w:rsid w:val="00DA7FB9"/>
    <w:rsid w:val="00DB1186"/>
    <w:rsid w:val="00DB2208"/>
    <w:rsid w:val="00DB4EA6"/>
    <w:rsid w:val="00DB57AB"/>
    <w:rsid w:val="00DB61B0"/>
    <w:rsid w:val="00DC0C88"/>
    <w:rsid w:val="00DC0CC7"/>
    <w:rsid w:val="00DC2E69"/>
    <w:rsid w:val="00DC2F8A"/>
    <w:rsid w:val="00DC3923"/>
    <w:rsid w:val="00DC6F9C"/>
    <w:rsid w:val="00DC73AD"/>
    <w:rsid w:val="00DD0BAD"/>
    <w:rsid w:val="00DD4A15"/>
    <w:rsid w:val="00DD5EE6"/>
    <w:rsid w:val="00DD7F04"/>
    <w:rsid w:val="00DE0BE8"/>
    <w:rsid w:val="00DE529E"/>
    <w:rsid w:val="00DE55E4"/>
    <w:rsid w:val="00DF1C87"/>
    <w:rsid w:val="00DF1CA3"/>
    <w:rsid w:val="00DF1F68"/>
    <w:rsid w:val="00DF214D"/>
    <w:rsid w:val="00DF50F5"/>
    <w:rsid w:val="00DF5E24"/>
    <w:rsid w:val="00E00655"/>
    <w:rsid w:val="00E006D2"/>
    <w:rsid w:val="00E02EBA"/>
    <w:rsid w:val="00E03B94"/>
    <w:rsid w:val="00E043D1"/>
    <w:rsid w:val="00E06A4D"/>
    <w:rsid w:val="00E0798C"/>
    <w:rsid w:val="00E118E3"/>
    <w:rsid w:val="00E12F4E"/>
    <w:rsid w:val="00E1646E"/>
    <w:rsid w:val="00E16DA5"/>
    <w:rsid w:val="00E17752"/>
    <w:rsid w:val="00E17D17"/>
    <w:rsid w:val="00E20633"/>
    <w:rsid w:val="00E20671"/>
    <w:rsid w:val="00E21407"/>
    <w:rsid w:val="00E2295E"/>
    <w:rsid w:val="00E25DAC"/>
    <w:rsid w:val="00E27DC5"/>
    <w:rsid w:val="00E27E2B"/>
    <w:rsid w:val="00E27FB5"/>
    <w:rsid w:val="00E3257F"/>
    <w:rsid w:val="00E35AC5"/>
    <w:rsid w:val="00E35F77"/>
    <w:rsid w:val="00E362FB"/>
    <w:rsid w:val="00E36645"/>
    <w:rsid w:val="00E40545"/>
    <w:rsid w:val="00E43E6A"/>
    <w:rsid w:val="00E45041"/>
    <w:rsid w:val="00E46E7A"/>
    <w:rsid w:val="00E46F32"/>
    <w:rsid w:val="00E50887"/>
    <w:rsid w:val="00E52A6A"/>
    <w:rsid w:val="00E52BEE"/>
    <w:rsid w:val="00E550AB"/>
    <w:rsid w:val="00E578F7"/>
    <w:rsid w:val="00E603C8"/>
    <w:rsid w:val="00E6345C"/>
    <w:rsid w:val="00E65E40"/>
    <w:rsid w:val="00E66FB0"/>
    <w:rsid w:val="00E67134"/>
    <w:rsid w:val="00E70CEE"/>
    <w:rsid w:val="00E714B9"/>
    <w:rsid w:val="00E718CE"/>
    <w:rsid w:val="00E71B08"/>
    <w:rsid w:val="00E767D8"/>
    <w:rsid w:val="00E778EB"/>
    <w:rsid w:val="00E81D3F"/>
    <w:rsid w:val="00E837D5"/>
    <w:rsid w:val="00E84952"/>
    <w:rsid w:val="00E85DD8"/>
    <w:rsid w:val="00E85EB9"/>
    <w:rsid w:val="00E8724D"/>
    <w:rsid w:val="00E8727C"/>
    <w:rsid w:val="00E90A2C"/>
    <w:rsid w:val="00E92AC6"/>
    <w:rsid w:val="00E9355B"/>
    <w:rsid w:val="00E946A3"/>
    <w:rsid w:val="00E96652"/>
    <w:rsid w:val="00EA460B"/>
    <w:rsid w:val="00EA4B95"/>
    <w:rsid w:val="00EA6046"/>
    <w:rsid w:val="00EA681E"/>
    <w:rsid w:val="00EB1F7E"/>
    <w:rsid w:val="00EB42F5"/>
    <w:rsid w:val="00EB4DB3"/>
    <w:rsid w:val="00EB6C71"/>
    <w:rsid w:val="00EB7F01"/>
    <w:rsid w:val="00EC0EF3"/>
    <w:rsid w:val="00EC1F5E"/>
    <w:rsid w:val="00EC24F5"/>
    <w:rsid w:val="00EC4F5D"/>
    <w:rsid w:val="00EC4FC1"/>
    <w:rsid w:val="00EC67B3"/>
    <w:rsid w:val="00EC6EBD"/>
    <w:rsid w:val="00EC726E"/>
    <w:rsid w:val="00ED1C0E"/>
    <w:rsid w:val="00ED3B4F"/>
    <w:rsid w:val="00ED3C2C"/>
    <w:rsid w:val="00ED46A0"/>
    <w:rsid w:val="00ED498A"/>
    <w:rsid w:val="00ED49B8"/>
    <w:rsid w:val="00ED7022"/>
    <w:rsid w:val="00EE23DD"/>
    <w:rsid w:val="00EE34C7"/>
    <w:rsid w:val="00EE3C92"/>
    <w:rsid w:val="00EE44EA"/>
    <w:rsid w:val="00EE4DC2"/>
    <w:rsid w:val="00EE5008"/>
    <w:rsid w:val="00EE7C56"/>
    <w:rsid w:val="00EF185D"/>
    <w:rsid w:val="00EF270B"/>
    <w:rsid w:val="00EF2DB4"/>
    <w:rsid w:val="00EF4018"/>
    <w:rsid w:val="00EF4208"/>
    <w:rsid w:val="00EF42EF"/>
    <w:rsid w:val="00EF44D1"/>
    <w:rsid w:val="00EF51C4"/>
    <w:rsid w:val="00EF6188"/>
    <w:rsid w:val="00EF6195"/>
    <w:rsid w:val="00EF64EF"/>
    <w:rsid w:val="00EF7465"/>
    <w:rsid w:val="00F0519A"/>
    <w:rsid w:val="00F115F7"/>
    <w:rsid w:val="00F12A22"/>
    <w:rsid w:val="00F13AE4"/>
    <w:rsid w:val="00F152A6"/>
    <w:rsid w:val="00F15BE7"/>
    <w:rsid w:val="00F23379"/>
    <w:rsid w:val="00F24C37"/>
    <w:rsid w:val="00F2560C"/>
    <w:rsid w:val="00F31463"/>
    <w:rsid w:val="00F31F63"/>
    <w:rsid w:val="00F33767"/>
    <w:rsid w:val="00F377A9"/>
    <w:rsid w:val="00F400B6"/>
    <w:rsid w:val="00F4452A"/>
    <w:rsid w:val="00F4462F"/>
    <w:rsid w:val="00F4684C"/>
    <w:rsid w:val="00F47705"/>
    <w:rsid w:val="00F52032"/>
    <w:rsid w:val="00F5212B"/>
    <w:rsid w:val="00F52ED0"/>
    <w:rsid w:val="00F5495D"/>
    <w:rsid w:val="00F554A6"/>
    <w:rsid w:val="00F5735E"/>
    <w:rsid w:val="00F60F90"/>
    <w:rsid w:val="00F65383"/>
    <w:rsid w:val="00F7260C"/>
    <w:rsid w:val="00F76850"/>
    <w:rsid w:val="00F80572"/>
    <w:rsid w:val="00F85B14"/>
    <w:rsid w:val="00F904E2"/>
    <w:rsid w:val="00F90981"/>
    <w:rsid w:val="00F90B8A"/>
    <w:rsid w:val="00F91108"/>
    <w:rsid w:val="00F92B54"/>
    <w:rsid w:val="00F92CA7"/>
    <w:rsid w:val="00F95540"/>
    <w:rsid w:val="00F95D52"/>
    <w:rsid w:val="00F968CD"/>
    <w:rsid w:val="00F968D5"/>
    <w:rsid w:val="00F9724B"/>
    <w:rsid w:val="00F977E4"/>
    <w:rsid w:val="00FA091F"/>
    <w:rsid w:val="00FA2D40"/>
    <w:rsid w:val="00FA340F"/>
    <w:rsid w:val="00FB154F"/>
    <w:rsid w:val="00FB1A7E"/>
    <w:rsid w:val="00FB2111"/>
    <w:rsid w:val="00FB415F"/>
    <w:rsid w:val="00FB514A"/>
    <w:rsid w:val="00FB767D"/>
    <w:rsid w:val="00FB777F"/>
    <w:rsid w:val="00FC2566"/>
    <w:rsid w:val="00FC5B88"/>
    <w:rsid w:val="00FC6F22"/>
    <w:rsid w:val="00FD03A3"/>
    <w:rsid w:val="00FD063A"/>
    <w:rsid w:val="00FD101E"/>
    <w:rsid w:val="00FD2764"/>
    <w:rsid w:val="00FD5B51"/>
    <w:rsid w:val="00FD6158"/>
    <w:rsid w:val="00FD7106"/>
    <w:rsid w:val="00FE3B08"/>
    <w:rsid w:val="00FE40F4"/>
    <w:rsid w:val="00FE41A4"/>
    <w:rsid w:val="00FE5920"/>
    <w:rsid w:val="00FF0DCE"/>
    <w:rsid w:val="00FF1613"/>
    <w:rsid w:val="00FF1A3D"/>
    <w:rsid w:val="00FF20A9"/>
    <w:rsid w:val="00FF20DE"/>
    <w:rsid w:val="00FF2138"/>
    <w:rsid w:val="00FF34FA"/>
    <w:rsid w:val="00FF4E45"/>
    <w:rsid w:val="00FF5611"/>
    <w:rsid w:val="00FF5B6E"/>
    <w:rsid w:val="00FF66A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5995D"/>
  <w15:chartTrackingRefBased/>
  <w15:docId w15:val="{ED5B0BF9-AD0F-4043-8BBE-79DF6C8B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ja-JP"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E0A3C"/>
    <w:pPr>
      <w:spacing w:after="120" w:line="240" w:lineRule="auto"/>
    </w:pPr>
    <w:rPr>
      <w:rFonts w:ascii="Cambria" w:hAnsi="Cambria" w:cs="Times New Roman"/>
      <w:kern w:val="0"/>
      <w:sz w:val="22"/>
      <w:szCs w:val="22"/>
      <w:lang w:bidi="ar-SA"/>
      <w14:ligatures w14:val="none"/>
    </w:rPr>
  </w:style>
  <w:style w:type="paragraph" w:styleId="10">
    <w:name w:val="heading 1"/>
    <w:basedOn w:val="a1"/>
    <w:next w:val="a1"/>
    <w:link w:val="11"/>
    <w:uiPriority w:val="1"/>
    <w:qFormat/>
    <w:rsid w:val="00A54F01"/>
    <w:pPr>
      <w:keepNext/>
      <w:keepLines/>
      <w:pageBreakBefore/>
      <w:spacing w:before="240" w:after="80"/>
      <w:ind w:left="357" w:hanging="357"/>
      <w:outlineLvl w:val="0"/>
    </w:pPr>
    <w:rPr>
      <w:rFonts w:eastAsiaTheme="majorEastAsia" w:cstheme="majorBidi"/>
      <w:b/>
      <w:bCs/>
      <w:sz w:val="40"/>
      <w:szCs w:val="36"/>
    </w:rPr>
  </w:style>
  <w:style w:type="paragraph" w:styleId="20">
    <w:name w:val="heading 2"/>
    <w:basedOn w:val="10"/>
    <w:next w:val="a1"/>
    <w:link w:val="21"/>
    <w:uiPriority w:val="2"/>
    <w:unhideWhenUsed/>
    <w:qFormat/>
    <w:rsid w:val="00A54F01"/>
    <w:pPr>
      <w:pageBreakBefore w:val="0"/>
      <w:outlineLvl w:val="1"/>
    </w:pPr>
    <w:rPr>
      <w:sz w:val="32"/>
      <w:szCs w:val="29"/>
    </w:rPr>
  </w:style>
  <w:style w:type="paragraph" w:styleId="3">
    <w:name w:val="heading 3"/>
    <w:basedOn w:val="a1"/>
    <w:next w:val="a1"/>
    <w:link w:val="30"/>
    <w:uiPriority w:val="3"/>
    <w:unhideWhenUsed/>
    <w:qFormat/>
    <w:rsid w:val="001569C5"/>
    <w:pPr>
      <w:keepNext/>
      <w:spacing w:before="120"/>
      <w:outlineLvl w:val="2"/>
    </w:pPr>
    <w:rPr>
      <w:b/>
      <w:bCs/>
      <w:sz w:val="28"/>
      <w:szCs w:val="28"/>
    </w:rPr>
  </w:style>
  <w:style w:type="paragraph" w:styleId="4">
    <w:name w:val="heading 4"/>
    <w:basedOn w:val="a1"/>
    <w:next w:val="a1"/>
    <w:link w:val="40"/>
    <w:uiPriority w:val="4"/>
    <w:unhideWhenUsed/>
    <w:qFormat/>
    <w:rsid w:val="005F2726"/>
    <w:pPr>
      <w:keepNext/>
      <w:outlineLvl w:val="3"/>
    </w:pPr>
    <w:rPr>
      <w:b/>
      <w:bCs/>
    </w:rPr>
  </w:style>
  <w:style w:type="paragraph" w:styleId="5">
    <w:name w:val="heading 5"/>
    <w:basedOn w:val="a1"/>
    <w:next w:val="a1"/>
    <w:link w:val="50"/>
    <w:uiPriority w:val="5"/>
    <w:unhideWhenUsed/>
    <w:qFormat/>
    <w:rsid w:val="003E5277"/>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6"/>
    <w:unhideWhenUsed/>
    <w:qFormat/>
    <w:rsid w:val="003E5277"/>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3E5277"/>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3E5277"/>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3E5277"/>
    <w:pPr>
      <w:keepNext/>
      <w:keepLines/>
      <w:spacing w:after="0"/>
      <w:outlineLvl w:val="8"/>
    </w:pPr>
    <w:rPr>
      <w:rFonts w:eastAsiaTheme="majorEastAsia" w:cstheme="majorBidi"/>
      <w:color w:val="272727" w:themeColor="text1" w:themeTint="D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見出し 1 (文字)"/>
    <w:basedOn w:val="a7"/>
    <w:link w:val="10"/>
    <w:uiPriority w:val="1"/>
    <w:rsid w:val="00A54F01"/>
    <w:rPr>
      <w:rFonts w:ascii="Cambria" w:eastAsiaTheme="majorEastAsia" w:hAnsi="Cambria" w:cstheme="majorBidi"/>
      <w:b/>
      <w:bCs/>
      <w:kern w:val="0"/>
      <w:sz w:val="40"/>
      <w:szCs w:val="36"/>
      <w:lang w:bidi="ar-SA"/>
      <w14:ligatures w14:val="none"/>
    </w:rPr>
  </w:style>
  <w:style w:type="character" w:customStyle="1" w:styleId="21">
    <w:name w:val="見出し 2 (文字)"/>
    <w:basedOn w:val="a7"/>
    <w:link w:val="20"/>
    <w:uiPriority w:val="2"/>
    <w:rsid w:val="00A54F01"/>
    <w:rPr>
      <w:rFonts w:ascii="Cambria" w:eastAsiaTheme="majorEastAsia" w:hAnsi="Cambria" w:cstheme="majorBidi"/>
      <w:b/>
      <w:bCs/>
      <w:kern w:val="0"/>
      <w:sz w:val="32"/>
      <w:szCs w:val="29"/>
      <w:lang w:bidi="ar-SA"/>
      <w14:ligatures w14:val="none"/>
    </w:rPr>
  </w:style>
  <w:style w:type="character" w:customStyle="1" w:styleId="30">
    <w:name w:val="見出し 3 (文字)"/>
    <w:basedOn w:val="a7"/>
    <w:link w:val="3"/>
    <w:uiPriority w:val="3"/>
    <w:rsid w:val="001569C5"/>
    <w:rPr>
      <w:rFonts w:ascii="Cambria" w:hAnsi="Cambria" w:cs="Times New Roman"/>
      <w:b/>
      <w:bCs/>
      <w:kern w:val="0"/>
      <w:sz w:val="28"/>
      <w:szCs w:val="28"/>
      <w:lang w:bidi="ar-SA"/>
      <w14:ligatures w14:val="none"/>
    </w:rPr>
  </w:style>
  <w:style w:type="character" w:customStyle="1" w:styleId="40">
    <w:name w:val="見出し 4 (文字)"/>
    <w:basedOn w:val="a7"/>
    <w:link w:val="4"/>
    <w:uiPriority w:val="4"/>
    <w:rsid w:val="005F2726"/>
    <w:rPr>
      <w:rFonts w:ascii="Cambria" w:hAnsi="Cambria" w:cs="Times New Roman"/>
      <w:b/>
      <w:bCs/>
      <w:kern w:val="0"/>
      <w:sz w:val="22"/>
      <w:szCs w:val="22"/>
      <w:lang w:bidi="ar-SA"/>
      <w14:ligatures w14:val="none"/>
    </w:rPr>
  </w:style>
  <w:style w:type="character" w:customStyle="1" w:styleId="50">
    <w:name w:val="見出し 5 (文字)"/>
    <w:basedOn w:val="a7"/>
    <w:link w:val="5"/>
    <w:uiPriority w:val="5"/>
    <w:rsid w:val="003E5277"/>
    <w:rPr>
      <w:rFonts w:eastAsiaTheme="majorEastAsia" w:cstheme="majorBidi"/>
      <w:color w:val="0F4761" w:themeColor="accent1" w:themeShade="BF"/>
    </w:rPr>
  </w:style>
  <w:style w:type="character" w:customStyle="1" w:styleId="60">
    <w:name w:val="見出し 6 (文字)"/>
    <w:basedOn w:val="a7"/>
    <w:link w:val="6"/>
    <w:uiPriority w:val="6"/>
    <w:rsid w:val="003E5277"/>
    <w:rPr>
      <w:rFonts w:eastAsiaTheme="majorEastAsia" w:cstheme="majorBidi"/>
      <w:i/>
      <w:iCs/>
      <w:color w:val="595959" w:themeColor="text1" w:themeTint="A6"/>
    </w:rPr>
  </w:style>
  <w:style w:type="character" w:customStyle="1" w:styleId="70">
    <w:name w:val="見出し 7 (文字)"/>
    <w:basedOn w:val="a7"/>
    <w:link w:val="7"/>
    <w:uiPriority w:val="9"/>
    <w:semiHidden/>
    <w:rsid w:val="003E5277"/>
    <w:rPr>
      <w:rFonts w:eastAsiaTheme="majorEastAsia" w:cstheme="majorBidi"/>
      <w:color w:val="595959" w:themeColor="text1" w:themeTint="A6"/>
    </w:rPr>
  </w:style>
  <w:style w:type="character" w:customStyle="1" w:styleId="80">
    <w:name w:val="見出し 8 (文字)"/>
    <w:basedOn w:val="a7"/>
    <w:link w:val="8"/>
    <w:uiPriority w:val="9"/>
    <w:semiHidden/>
    <w:rsid w:val="003E5277"/>
    <w:rPr>
      <w:rFonts w:eastAsiaTheme="majorEastAsia" w:cstheme="majorBidi"/>
      <w:i/>
      <w:iCs/>
      <w:color w:val="272727" w:themeColor="text1" w:themeTint="D8"/>
    </w:rPr>
  </w:style>
  <w:style w:type="character" w:customStyle="1" w:styleId="90">
    <w:name w:val="見出し 9 (文字)"/>
    <w:basedOn w:val="a7"/>
    <w:link w:val="9"/>
    <w:uiPriority w:val="9"/>
    <w:semiHidden/>
    <w:rsid w:val="003E5277"/>
    <w:rPr>
      <w:rFonts w:eastAsiaTheme="majorEastAsia" w:cstheme="majorBidi"/>
      <w:color w:val="272727" w:themeColor="text1" w:themeTint="D8"/>
    </w:rPr>
  </w:style>
  <w:style w:type="paragraph" w:styleId="aa">
    <w:name w:val="Title"/>
    <w:basedOn w:val="a1"/>
    <w:next w:val="a1"/>
    <w:link w:val="ab"/>
    <w:uiPriority w:val="10"/>
    <w:qFormat/>
    <w:rsid w:val="00A604E7"/>
    <w:pPr>
      <w:spacing w:after="80"/>
      <w:contextualSpacing/>
    </w:pPr>
    <w:rPr>
      <w:rFonts w:eastAsiaTheme="majorEastAsia" w:cstheme="majorBidi"/>
      <w:b/>
      <w:bCs/>
      <w:spacing w:val="-10"/>
      <w:kern w:val="28"/>
      <w:sz w:val="52"/>
      <w:szCs w:val="48"/>
    </w:rPr>
  </w:style>
  <w:style w:type="character" w:customStyle="1" w:styleId="ab">
    <w:name w:val="表題 (文字)"/>
    <w:basedOn w:val="a7"/>
    <w:link w:val="aa"/>
    <w:uiPriority w:val="10"/>
    <w:rsid w:val="00A604E7"/>
    <w:rPr>
      <w:rFonts w:ascii="Cambria" w:eastAsiaTheme="majorEastAsia" w:hAnsi="Cambria" w:cstheme="majorBidi"/>
      <w:b/>
      <w:bCs/>
      <w:spacing w:val="-10"/>
      <w:kern w:val="28"/>
      <w:sz w:val="52"/>
      <w:szCs w:val="48"/>
    </w:rPr>
  </w:style>
  <w:style w:type="paragraph" w:styleId="ac">
    <w:name w:val="Subtitle"/>
    <w:basedOn w:val="a1"/>
    <w:next w:val="a1"/>
    <w:link w:val="ad"/>
    <w:uiPriority w:val="11"/>
    <w:qFormat/>
    <w:rsid w:val="003E5277"/>
    <w:pPr>
      <w:numPr>
        <w:ilvl w:val="1"/>
      </w:numPr>
    </w:pPr>
    <w:rPr>
      <w:rFonts w:eastAsiaTheme="majorEastAsia" w:cstheme="majorBidi"/>
      <w:color w:val="595959" w:themeColor="text1" w:themeTint="A6"/>
      <w:spacing w:val="15"/>
      <w:sz w:val="28"/>
      <w:szCs w:val="25"/>
    </w:rPr>
  </w:style>
  <w:style w:type="character" w:customStyle="1" w:styleId="ad">
    <w:name w:val="副題 (文字)"/>
    <w:basedOn w:val="a7"/>
    <w:link w:val="ac"/>
    <w:uiPriority w:val="11"/>
    <w:rsid w:val="003E5277"/>
    <w:rPr>
      <w:rFonts w:eastAsiaTheme="majorEastAsia" w:cstheme="majorBidi"/>
      <w:color w:val="595959" w:themeColor="text1" w:themeTint="A6"/>
      <w:spacing w:val="15"/>
      <w:sz w:val="28"/>
      <w:szCs w:val="25"/>
    </w:rPr>
  </w:style>
  <w:style w:type="paragraph" w:styleId="ae">
    <w:name w:val="Quote"/>
    <w:basedOn w:val="a1"/>
    <w:next w:val="a1"/>
    <w:link w:val="af"/>
    <w:uiPriority w:val="29"/>
    <w:qFormat/>
    <w:rsid w:val="003E5277"/>
    <w:pPr>
      <w:spacing w:before="160"/>
      <w:jc w:val="center"/>
    </w:pPr>
    <w:rPr>
      <w:i/>
      <w:iCs/>
      <w:color w:val="404040" w:themeColor="text1" w:themeTint="BF"/>
    </w:rPr>
  </w:style>
  <w:style w:type="character" w:customStyle="1" w:styleId="af">
    <w:name w:val="引用文 (文字)"/>
    <w:basedOn w:val="a7"/>
    <w:link w:val="ae"/>
    <w:uiPriority w:val="29"/>
    <w:rsid w:val="003E5277"/>
    <w:rPr>
      <w:i/>
      <w:iCs/>
      <w:color w:val="404040" w:themeColor="text1" w:themeTint="BF"/>
    </w:rPr>
  </w:style>
  <w:style w:type="paragraph" w:styleId="af0">
    <w:name w:val="List Paragraph"/>
    <w:basedOn w:val="a1"/>
    <w:link w:val="af1"/>
    <w:uiPriority w:val="34"/>
    <w:qFormat/>
    <w:rsid w:val="003E5277"/>
    <w:pPr>
      <w:ind w:left="720"/>
      <w:contextualSpacing/>
    </w:pPr>
  </w:style>
  <w:style w:type="character" w:styleId="22">
    <w:name w:val="Intense Emphasis"/>
    <w:basedOn w:val="a7"/>
    <w:uiPriority w:val="21"/>
    <w:qFormat/>
    <w:rsid w:val="003E5277"/>
    <w:rPr>
      <w:i/>
      <w:iCs/>
      <w:color w:val="0F4761" w:themeColor="accent1" w:themeShade="BF"/>
    </w:rPr>
  </w:style>
  <w:style w:type="paragraph" w:styleId="23">
    <w:name w:val="Intense Quote"/>
    <w:basedOn w:val="a1"/>
    <w:next w:val="a1"/>
    <w:link w:val="24"/>
    <w:uiPriority w:val="30"/>
    <w:qFormat/>
    <w:rsid w:val="003E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7"/>
    <w:link w:val="23"/>
    <w:uiPriority w:val="30"/>
    <w:rsid w:val="003E5277"/>
    <w:rPr>
      <w:i/>
      <w:iCs/>
      <w:color w:val="0F4761" w:themeColor="accent1" w:themeShade="BF"/>
    </w:rPr>
  </w:style>
  <w:style w:type="character" w:styleId="25">
    <w:name w:val="Intense Reference"/>
    <w:basedOn w:val="a7"/>
    <w:uiPriority w:val="32"/>
    <w:qFormat/>
    <w:rsid w:val="003E5277"/>
    <w:rPr>
      <w:b/>
      <w:bCs/>
      <w:smallCaps/>
      <w:color w:val="0F4761" w:themeColor="accent1" w:themeShade="BF"/>
      <w:spacing w:val="5"/>
    </w:rPr>
  </w:style>
  <w:style w:type="paragraph" w:styleId="af2">
    <w:name w:val="caption"/>
    <w:basedOn w:val="a1"/>
    <w:next w:val="a1"/>
    <w:uiPriority w:val="35"/>
    <w:unhideWhenUsed/>
    <w:qFormat/>
    <w:rsid w:val="00DB2208"/>
    <w:pPr>
      <w:spacing w:before="120"/>
      <w:jc w:val="center"/>
    </w:pPr>
    <w:rPr>
      <w:b/>
      <w:bCs/>
      <w:color w:val="0E2841" w:themeColor="text2"/>
      <w:sz w:val="24"/>
      <w:szCs w:val="24"/>
    </w:rPr>
  </w:style>
  <w:style w:type="paragraph" w:styleId="af3">
    <w:name w:val="header"/>
    <w:basedOn w:val="a1"/>
    <w:link w:val="af4"/>
    <w:uiPriority w:val="99"/>
    <w:unhideWhenUsed/>
    <w:rsid w:val="00C27255"/>
    <w:pPr>
      <w:tabs>
        <w:tab w:val="center" w:pos="4252"/>
        <w:tab w:val="right" w:pos="8504"/>
      </w:tabs>
      <w:spacing w:after="0"/>
    </w:pPr>
    <w:rPr>
      <w:szCs w:val="20"/>
    </w:rPr>
  </w:style>
  <w:style w:type="character" w:customStyle="1" w:styleId="af4">
    <w:name w:val="ヘッダー (文字)"/>
    <w:basedOn w:val="a7"/>
    <w:link w:val="af3"/>
    <w:uiPriority w:val="99"/>
    <w:rsid w:val="00C27255"/>
    <w:rPr>
      <w:rFonts w:ascii="Cambria" w:hAnsi="Cambria"/>
      <w:sz w:val="22"/>
      <w:szCs w:val="20"/>
    </w:rPr>
  </w:style>
  <w:style w:type="paragraph" w:styleId="af5">
    <w:name w:val="footer"/>
    <w:basedOn w:val="a1"/>
    <w:link w:val="af6"/>
    <w:uiPriority w:val="99"/>
    <w:unhideWhenUsed/>
    <w:rsid w:val="00C27255"/>
    <w:pPr>
      <w:tabs>
        <w:tab w:val="center" w:pos="4252"/>
        <w:tab w:val="right" w:pos="8504"/>
      </w:tabs>
      <w:spacing w:after="0"/>
    </w:pPr>
    <w:rPr>
      <w:szCs w:val="20"/>
    </w:rPr>
  </w:style>
  <w:style w:type="character" w:customStyle="1" w:styleId="af6">
    <w:name w:val="フッター (文字)"/>
    <w:basedOn w:val="a7"/>
    <w:link w:val="af5"/>
    <w:uiPriority w:val="99"/>
    <w:rsid w:val="00C27255"/>
    <w:rPr>
      <w:rFonts w:ascii="Cambria" w:hAnsi="Cambria"/>
      <w:sz w:val="22"/>
      <w:szCs w:val="20"/>
    </w:rPr>
  </w:style>
  <w:style w:type="paragraph" w:customStyle="1" w:styleId="a2">
    <w:name w:val="a2"/>
    <w:basedOn w:val="a1"/>
    <w:next w:val="a1"/>
    <w:uiPriority w:val="11"/>
    <w:qFormat/>
    <w:rsid w:val="00582601"/>
    <w:pPr>
      <w:keepNext/>
      <w:numPr>
        <w:ilvl w:val="1"/>
        <w:numId w:val="5"/>
      </w:numPr>
      <w:tabs>
        <w:tab w:val="left" w:pos="567"/>
        <w:tab w:val="left" w:pos="720"/>
      </w:tabs>
      <w:spacing w:before="270" w:line="270" w:lineRule="atLeast"/>
      <w:outlineLvl w:val="1"/>
    </w:pPr>
    <w:rPr>
      <w:rFonts w:eastAsia="ＭＳ 明朝"/>
      <w:b/>
      <w:sz w:val="26"/>
    </w:rPr>
  </w:style>
  <w:style w:type="paragraph" w:customStyle="1" w:styleId="a3">
    <w:name w:val="a3"/>
    <w:basedOn w:val="a1"/>
    <w:next w:val="a1"/>
    <w:uiPriority w:val="12"/>
    <w:qFormat/>
    <w:rsid w:val="00582601"/>
    <w:pPr>
      <w:keepNext/>
      <w:numPr>
        <w:ilvl w:val="2"/>
        <w:numId w:val="5"/>
      </w:numPr>
      <w:tabs>
        <w:tab w:val="left" w:pos="403"/>
      </w:tabs>
      <w:spacing w:before="60" w:line="250" w:lineRule="atLeast"/>
      <w:outlineLvl w:val="2"/>
    </w:pPr>
    <w:rPr>
      <w:rFonts w:eastAsia="ＭＳ 明朝"/>
      <w:b/>
      <w:sz w:val="24"/>
    </w:rPr>
  </w:style>
  <w:style w:type="paragraph" w:customStyle="1" w:styleId="a4">
    <w:name w:val="a4"/>
    <w:basedOn w:val="a1"/>
    <w:next w:val="a1"/>
    <w:uiPriority w:val="13"/>
    <w:qFormat/>
    <w:rsid w:val="00582601"/>
    <w:pPr>
      <w:keepNext/>
      <w:numPr>
        <w:ilvl w:val="3"/>
        <w:numId w:val="5"/>
      </w:numPr>
      <w:tabs>
        <w:tab w:val="left" w:pos="403"/>
        <w:tab w:val="left" w:pos="880"/>
      </w:tabs>
      <w:spacing w:before="60" w:line="240" w:lineRule="atLeast"/>
      <w:outlineLvl w:val="3"/>
    </w:pPr>
    <w:rPr>
      <w:rFonts w:eastAsia="ＭＳ 明朝"/>
      <w:b/>
      <w:bCs/>
      <w:iCs/>
    </w:rPr>
  </w:style>
  <w:style w:type="paragraph" w:customStyle="1" w:styleId="a5">
    <w:name w:val="a5"/>
    <w:basedOn w:val="a1"/>
    <w:next w:val="a1"/>
    <w:uiPriority w:val="14"/>
    <w:qFormat/>
    <w:rsid w:val="00582601"/>
    <w:pPr>
      <w:keepNext/>
      <w:numPr>
        <w:ilvl w:val="4"/>
        <w:numId w:val="5"/>
      </w:numPr>
      <w:tabs>
        <w:tab w:val="left" w:pos="403"/>
        <w:tab w:val="left" w:pos="1247"/>
        <w:tab w:val="left" w:pos="1360"/>
      </w:tabs>
      <w:spacing w:before="60" w:line="240" w:lineRule="atLeast"/>
      <w:outlineLvl w:val="0"/>
    </w:pPr>
    <w:rPr>
      <w:rFonts w:eastAsia="ＭＳ 明朝"/>
      <w:b/>
      <w:bCs/>
      <w:iCs/>
    </w:rPr>
  </w:style>
  <w:style w:type="paragraph" w:customStyle="1" w:styleId="a6">
    <w:name w:val="a6"/>
    <w:basedOn w:val="a1"/>
    <w:next w:val="a1"/>
    <w:uiPriority w:val="15"/>
    <w:qFormat/>
    <w:rsid w:val="00582601"/>
    <w:pPr>
      <w:keepNext/>
      <w:numPr>
        <w:ilvl w:val="5"/>
        <w:numId w:val="5"/>
      </w:numPr>
      <w:tabs>
        <w:tab w:val="left" w:pos="403"/>
        <w:tab w:val="left" w:pos="1247"/>
        <w:tab w:val="left" w:pos="1360"/>
      </w:tabs>
      <w:spacing w:before="60" w:line="240" w:lineRule="atLeast"/>
      <w:outlineLvl w:val="0"/>
    </w:pPr>
    <w:rPr>
      <w:rFonts w:eastAsia="ＭＳ 明朝"/>
      <w:b/>
      <w:bCs/>
    </w:rPr>
  </w:style>
  <w:style w:type="paragraph" w:customStyle="1" w:styleId="Appendix">
    <w:name w:val="Appendix"/>
    <w:basedOn w:val="a1"/>
    <w:next w:val="a1"/>
    <w:autoRedefine/>
    <w:uiPriority w:val="10"/>
    <w:qFormat/>
    <w:rsid w:val="00122B20"/>
    <w:pPr>
      <w:keepNext/>
      <w:pageBreakBefore/>
      <w:numPr>
        <w:numId w:val="5"/>
      </w:numPr>
      <w:tabs>
        <w:tab w:val="left" w:pos="403"/>
      </w:tabs>
      <w:ind w:left="0" w:firstLine="0"/>
      <w:jc w:val="center"/>
      <w:outlineLvl w:val="0"/>
    </w:pPr>
    <w:rPr>
      <w:rFonts w:eastAsia="ＭＳ 明朝"/>
      <w:b/>
      <w:sz w:val="40"/>
      <w:szCs w:val="40"/>
    </w:rPr>
  </w:style>
  <w:style w:type="table" w:styleId="af7">
    <w:name w:val="Table Grid"/>
    <w:basedOn w:val="a8"/>
    <w:uiPriority w:val="59"/>
    <w:qFormat/>
    <w:rsid w:val="00582601"/>
    <w:pPr>
      <w:spacing w:after="0" w:line="240" w:lineRule="auto"/>
    </w:pPr>
    <w:rPr>
      <w:rFonts w:ascii="Cambria" w:hAnsi="Cambria" w:cs="Times New Roman"/>
      <w:kern w:val="0"/>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rsid w:val="00582601"/>
    <w:rPr>
      <w:color w:val="0000FF"/>
      <w:u w:val="single"/>
      <w:lang w:val="fr-FR"/>
    </w:rPr>
  </w:style>
  <w:style w:type="paragraph" w:styleId="a0">
    <w:name w:val="List"/>
    <w:basedOn w:val="af0"/>
    <w:uiPriority w:val="4"/>
    <w:rsid w:val="00582601"/>
    <w:pPr>
      <w:keepNext/>
      <w:numPr>
        <w:numId w:val="2"/>
      </w:numPr>
      <w:spacing w:line="240" w:lineRule="atLeast"/>
    </w:pPr>
    <w:rPr>
      <w:lang w:eastAsia="en-US"/>
    </w:rPr>
  </w:style>
  <w:style w:type="paragraph" w:customStyle="1" w:styleId="Note">
    <w:name w:val="Note"/>
    <w:basedOn w:val="a1"/>
    <w:link w:val="NoteChar"/>
    <w:qFormat/>
    <w:rsid w:val="00582601"/>
    <w:pPr>
      <w:tabs>
        <w:tab w:val="left" w:pos="403"/>
      </w:tabs>
      <w:spacing w:line="240" w:lineRule="atLeast"/>
    </w:pPr>
    <w:rPr>
      <w:sz w:val="20"/>
      <w:szCs w:val="20"/>
      <w:lang w:eastAsia="en-US"/>
    </w:rPr>
  </w:style>
  <w:style w:type="character" w:customStyle="1" w:styleId="NoteChar">
    <w:name w:val="Note Char"/>
    <w:basedOn w:val="a7"/>
    <w:link w:val="Note"/>
    <w:rsid w:val="00582601"/>
    <w:rPr>
      <w:rFonts w:ascii="Cambria" w:hAnsi="Cambria" w:cs="Times New Roman"/>
      <w:kern w:val="0"/>
      <w:sz w:val="20"/>
      <w:szCs w:val="20"/>
      <w:lang w:eastAsia="en-US" w:bidi="ar-SA"/>
    </w:rPr>
  </w:style>
  <w:style w:type="character" w:customStyle="1" w:styleId="af1">
    <w:name w:val="リスト段落 (文字)"/>
    <w:basedOn w:val="a7"/>
    <w:link w:val="af0"/>
    <w:uiPriority w:val="34"/>
    <w:qFormat/>
    <w:rsid w:val="00582601"/>
    <w:rPr>
      <w:rFonts w:ascii="Cambria" w:hAnsi="Cambria"/>
      <w:sz w:val="22"/>
      <w:szCs w:val="22"/>
    </w:rPr>
  </w:style>
  <w:style w:type="paragraph" w:styleId="2">
    <w:name w:val="List Bullet 2"/>
    <w:basedOn w:val="a1"/>
    <w:uiPriority w:val="99"/>
    <w:unhideWhenUsed/>
    <w:rsid w:val="00582601"/>
    <w:pPr>
      <w:numPr>
        <w:numId w:val="3"/>
      </w:numPr>
      <w:tabs>
        <w:tab w:val="clear" w:pos="643"/>
        <w:tab w:val="left" w:pos="403"/>
        <w:tab w:val="num" w:pos="720"/>
      </w:tabs>
      <w:spacing w:line="240" w:lineRule="atLeast"/>
      <w:contextualSpacing/>
    </w:pPr>
    <w:rPr>
      <w:rFonts w:eastAsia="Calibri"/>
      <w:lang w:eastAsia="en-US"/>
    </w:rPr>
  </w:style>
  <w:style w:type="character" w:styleId="af9">
    <w:name w:val="Strong"/>
    <w:basedOn w:val="a7"/>
    <w:uiPriority w:val="22"/>
    <w:qFormat/>
    <w:rsid w:val="00582601"/>
    <w:rPr>
      <w:b/>
      <w:bCs/>
    </w:rPr>
  </w:style>
  <w:style w:type="paragraph" w:customStyle="1" w:styleId="BiblioTitle">
    <w:name w:val="Biblio Title"/>
    <w:basedOn w:val="a1"/>
    <w:uiPriority w:val="5"/>
    <w:rsid w:val="00FF1A3D"/>
    <w:pPr>
      <w:tabs>
        <w:tab w:val="left" w:pos="403"/>
      </w:tabs>
      <w:spacing w:after="310" w:line="310" w:lineRule="atLeast"/>
      <w:jc w:val="center"/>
      <w:outlineLvl w:val="0"/>
    </w:pPr>
    <w:rPr>
      <w:b/>
      <w:sz w:val="28"/>
      <w:lang w:eastAsia="en-US"/>
    </w:rPr>
  </w:style>
  <w:style w:type="paragraph" w:customStyle="1" w:styleId="Definition">
    <w:name w:val="Definition"/>
    <w:basedOn w:val="a1"/>
    <w:link w:val="DefinitionChar"/>
    <w:uiPriority w:val="9"/>
    <w:rsid w:val="00FF1A3D"/>
    <w:pPr>
      <w:tabs>
        <w:tab w:val="left" w:pos="403"/>
      </w:tabs>
      <w:spacing w:line="240" w:lineRule="atLeast"/>
    </w:pPr>
    <w:rPr>
      <w:lang w:eastAsia="en-US"/>
    </w:rPr>
  </w:style>
  <w:style w:type="paragraph" w:customStyle="1" w:styleId="ForewordTitle">
    <w:name w:val="Foreword Title"/>
    <w:basedOn w:val="a1"/>
    <w:semiHidden/>
    <w:rsid w:val="00FF1A3D"/>
    <w:pPr>
      <w:keepNext/>
      <w:pageBreakBefore/>
      <w:tabs>
        <w:tab w:val="left" w:pos="403"/>
      </w:tabs>
      <w:suppressAutoHyphens/>
      <w:spacing w:after="310" w:line="310" w:lineRule="atLeast"/>
      <w:outlineLvl w:val="0"/>
    </w:pPr>
    <w:rPr>
      <w:b/>
      <w:sz w:val="28"/>
      <w:lang w:eastAsia="en-US"/>
    </w:rPr>
  </w:style>
  <w:style w:type="paragraph" w:customStyle="1" w:styleId="IntroTitle">
    <w:name w:val="Intro Title"/>
    <w:basedOn w:val="ForewordTitle"/>
    <w:semiHidden/>
    <w:rsid w:val="00FF1A3D"/>
    <w:pPr>
      <w:pageBreakBefore w:val="0"/>
    </w:pPr>
  </w:style>
  <w:style w:type="paragraph" w:customStyle="1" w:styleId="Terms">
    <w:name w:val="Term(s)"/>
    <w:basedOn w:val="a1"/>
    <w:next w:val="Definition"/>
    <w:uiPriority w:val="8"/>
    <w:rsid w:val="00FF1A3D"/>
    <w:pPr>
      <w:keepNext/>
      <w:tabs>
        <w:tab w:val="left" w:pos="403"/>
      </w:tabs>
      <w:suppressAutoHyphens/>
      <w:spacing w:after="0" w:line="240" w:lineRule="atLeast"/>
    </w:pPr>
    <w:rPr>
      <w:b/>
      <w:lang w:eastAsia="en-US"/>
    </w:rPr>
  </w:style>
  <w:style w:type="paragraph" w:customStyle="1" w:styleId="TermNum">
    <w:name w:val="TermNum"/>
    <w:basedOn w:val="a1"/>
    <w:next w:val="Terms"/>
    <w:uiPriority w:val="7"/>
    <w:rsid w:val="00FF1A3D"/>
    <w:pPr>
      <w:keepNext/>
      <w:tabs>
        <w:tab w:val="left" w:pos="403"/>
      </w:tabs>
      <w:spacing w:after="0" w:line="240" w:lineRule="atLeast"/>
    </w:pPr>
    <w:rPr>
      <w:b/>
      <w:lang w:eastAsia="en-US"/>
    </w:rPr>
  </w:style>
  <w:style w:type="paragraph" w:styleId="12">
    <w:name w:val="toc 1"/>
    <w:basedOn w:val="a1"/>
    <w:next w:val="a1"/>
    <w:uiPriority w:val="39"/>
    <w:rsid w:val="00FF1A3D"/>
    <w:pPr>
      <w:tabs>
        <w:tab w:val="left" w:pos="403"/>
        <w:tab w:val="left" w:pos="720"/>
        <w:tab w:val="right" w:leader="dot" w:pos="9752"/>
      </w:tabs>
      <w:suppressAutoHyphens/>
      <w:spacing w:before="80" w:after="0" w:line="240" w:lineRule="atLeast"/>
      <w:ind w:left="720" w:right="500" w:hanging="720"/>
    </w:pPr>
    <w:rPr>
      <w:b/>
      <w:lang w:eastAsia="en-US"/>
    </w:rPr>
  </w:style>
  <w:style w:type="paragraph" w:styleId="26">
    <w:name w:val="toc 2"/>
    <w:basedOn w:val="12"/>
    <w:next w:val="a1"/>
    <w:uiPriority w:val="39"/>
    <w:rsid w:val="00FF1A3D"/>
    <w:pPr>
      <w:spacing w:before="0"/>
    </w:pPr>
  </w:style>
  <w:style w:type="paragraph" w:styleId="31">
    <w:name w:val="toc 3"/>
    <w:basedOn w:val="26"/>
    <w:next w:val="a1"/>
    <w:uiPriority w:val="39"/>
    <w:rsid w:val="00FF1A3D"/>
  </w:style>
  <w:style w:type="paragraph" w:customStyle="1" w:styleId="zzContents">
    <w:name w:val="zzContents"/>
    <w:basedOn w:val="a1"/>
    <w:next w:val="12"/>
    <w:semiHidden/>
    <w:rsid w:val="00FF1A3D"/>
    <w:pPr>
      <w:keepNext/>
      <w:pageBreakBefore/>
      <w:tabs>
        <w:tab w:val="left" w:pos="403"/>
      </w:tabs>
      <w:suppressAutoHyphens/>
      <w:spacing w:before="960" w:after="310" w:line="310" w:lineRule="exact"/>
    </w:pPr>
    <w:rPr>
      <w:b/>
      <w:sz w:val="28"/>
      <w:lang w:eastAsia="en-US"/>
    </w:rPr>
  </w:style>
  <w:style w:type="paragraph" w:customStyle="1" w:styleId="zzCopyright">
    <w:name w:val="zzCopyright"/>
    <w:basedOn w:val="a1"/>
    <w:next w:val="a1"/>
    <w:semiHidden/>
    <w:rsid w:val="00FF1A3D"/>
    <w:pPr>
      <w:pBdr>
        <w:top w:val="single" w:sz="4" w:space="1" w:color="0000FF"/>
        <w:left w:val="single" w:sz="4" w:space="4" w:color="0000FF"/>
        <w:bottom w:val="single" w:sz="4" w:space="1" w:color="0000FF"/>
        <w:right w:val="single" w:sz="4" w:space="4" w:color="0000FF"/>
      </w:pBdr>
      <w:tabs>
        <w:tab w:val="left" w:pos="403"/>
        <w:tab w:val="left" w:pos="514"/>
        <w:tab w:val="left" w:pos="9623"/>
      </w:tabs>
      <w:spacing w:line="240" w:lineRule="atLeast"/>
      <w:ind w:left="284" w:right="284"/>
    </w:pPr>
    <w:rPr>
      <w:color w:val="0000FF"/>
      <w:lang w:eastAsia="en-US"/>
    </w:rPr>
  </w:style>
  <w:style w:type="paragraph" w:customStyle="1" w:styleId="zzSTDTitle">
    <w:name w:val="zzSTDTitle"/>
    <w:basedOn w:val="a1"/>
    <w:next w:val="a1"/>
    <w:semiHidden/>
    <w:rsid w:val="00FF1A3D"/>
    <w:pPr>
      <w:tabs>
        <w:tab w:val="left" w:pos="403"/>
      </w:tabs>
      <w:suppressAutoHyphens/>
      <w:spacing w:before="400" w:after="760" w:line="350" w:lineRule="exact"/>
    </w:pPr>
    <w:rPr>
      <w:b/>
      <w:color w:val="0000FF"/>
      <w:sz w:val="32"/>
      <w:lang w:eastAsia="en-US"/>
    </w:rPr>
  </w:style>
  <w:style w:type="paragraph" w:customStyle="1" w:styleId="Code">
    <w:name w:val="Code"/>
    <w:basedOn w:val="a1"/>
    <w:uiPriority w:val="16"/>
    <w:qFormat/>
    <w:rsid w:val="00FF1A3D"/>
    <w:pPr>
      <w:tabs>
        <w:tab w:val="left" w:pos="403"/>
      </w:tabs>
      <w:spacing w:after="0" w:line="200" w:lineRule="atLeast"/>
    </w:pPr>
    <w:rPr>
      <w:rFonts w:ascii="Courier New" w:hAnsi="Courier New"/>
      <w:sz w:val="18"/>
      <w:lang w:eastAsia="en-US"/>
    </w:rPr>
  </w:style>
  <w:style w:type="paragraph" w:styleId="afa">
    <w:name w:val="Body Text"/>
    <w:basedOn w:val="a1"/>
    <w:link w:val="afb"/>
    <w:qFormat/>
    <w:rsid w:val="00FF1A3D"/>
    <w:pPr>
      <w:tabs>
        <w:tab w:val="left" w:pos="403"/>
      </w:tabs>
      <w:spacing w:line="240" w:lineRule="atLeast"/>
    </w:pPr>
    <w:rPr>
      <w:lang w:eastAsia="en-US"/>
    </w:rPr>
  </w:style>
  <w:style w:type="character" w:customStyle="1" w:styleId="afb">
    <w:name w:val="本文 (文字)"/>
    <w:basedOn w:val="a7"/>
    <w:link w:val="afa"/>
    <w:qFormat/>
    <w:rsid w:val="00FF1A3D"/>
    <w:rPr>
      <w:rFonts w:ascii="Cambria" w:hAnsi="Cambria" w:cs="Times New Roman"/>
      <w:kern w:val="0"/>
      <w:sz w:val="22"/>
      <w:szCs w:val="22"/>
      <w:lang w:eastAsia="en-US" w:bidi="ar-SA"/>
    </w:rPr>
  </w:style>
  <w:style w:type="paragraph" w:customStyle="1" w:styleId="Formula">
    <w:name w:val="Formula"/>
    <w:basedOn w:val="a1"/>
    <w:semiHidden/>
    <w:rsid w:val="00FF1A3D"/>
    <w:pPr>
      <w:tabs>
        <w:tab w:val="right" w:pos="9749"/>
      </w:tabs>
      <w:spacing w:after="220" w:line="240" w:lineRule="atLeast"/>
      <w:ind w:left="403"/>
    </w:pPr>
    <w:rPr>
      <w:rFonts w:eastAsia="Times New Roman"/>
      <w:lang w:eastAsia="en-US"/>
    </w:rPr>
  </w:style>
  <w:style w:type="paragraph" w:customStyle="1" w:styleId="Tablebody">
    <w:name w:val="Table body"/>
    <w:basedOn w:val="a1"/>
    <w:rsid w:val="00FF1A3D"/>
    <w:pPr>
      <w:tabs>
        <w:tab w:val="left" w:pos="403"/>
      </w:tabs>
      <w:spacing w:before="60" w:after="60" w:line="240" w:lineRule="atLeast"/>
      <w:jc w:val="center"/>
    </w:pPr>
    <w:rPr>
      <w:sz w:val="20"/>
      <w:lang w:eastAsia="en-US"/>
    </w:rPr>
  </w:style>
  <w:style w:type="character" w:styleId="afc">
    <w:name w:val="Placeholder Text"/>
    <w:basedOn w:val="a7"/>
    <w:uiPriority w:val="99"/>
    <w:semiHidden/>
    <w:rsid w:val="00FF1A3D"/>
    <w:rPr>
      <w:color w:val="808080"/>
    </w:rPr>
  </w:style>
  <w:style w:type="paragraph" w:customStyle="1" w:styleId="ForewordText">
    <w:name w:val="Foreword Text"/>
    <w:basedOn w:val="a1"/>
    <w:link w:val="ForewordTextChar"/>
    <w:rsid w:val="00FF1A3D"/>
    <w:pPr>
      <w:spacing w:line="240" w:lineRule="atLeast"/>
    </w:pPr>
    <w:rPr>
      <w:lang w:val="fr-FR" w:eastAsia="en-US"/>
    </w:rPr>
  </w:style>
  <w:style w:type="character" w:customStyle="1" w:styleId="ForewordTextChar">
    <w:name w:val="Foreword Text Char"/>
    <w:link w:val="ForewordText"/>
    <w:locked/>
    <w:rsid w:val="00FF1A3D"/>
    <w:rPr>
      <w:rFonts w:ascii="Cambria" w:hAnsi="Cambria" w:cs="Times New Roman"/>
      <w:kern w:val="0"/>
      <w:sz w:val="22"/>
      <w:szCs w:val="22"/>
      <w:lang w:val="fr-FR" w:eastAsia="en-US" w:bidi="ar-SA"/>
    </w:rPr>
  </w:style>
  <w:style w:type="paragraph" w:styleId="afd">
    <w:name w:val="Balloon Text"/>
    <w:basedOn w:val="a1"/>
    <w:link w:val="afe"/>
    <w:uiPriority w:val="99"/>
    <w:semiHidden/>
    <w:unhideWhenUsed/>
    <w:rsid w:val="00FF1A3D"/>
    <w:pPr>
      <w:tabs>
        <w:tab w:val="left" w:pos="403"/>
      </w:tabs>
      <w:spacing w:after="0"/>
    </w:pPr>
    <w:rPr>
      <w:rFonts w:ascii="Segoe UI" w:hAnsi="Segoe UI" w:cs="Segoe UI"/>
      <w:sz w:val="18"/>
      <w:szCs w:val="18"/>
      <w:lang w:eastAsia="en-US"/>
    </w:rPr>
  </w:style>
  <w:style w:type="character" w:customStyle="1" w:styleId="afe">
    <w:name w:val="吹き出し (文字)"/>
    <w:basedOn w:val="a7"/>
    <w:link w:val="afd"/>
    <w:uiPriority w:val="99"/>
    <w:semiHidden/>
    <w:rsid w:val="00FF1A3D"/>
    <w:rPr>
      <w:rFonts w:ascii="Segoe UI" w:hAnsi="Segoe UI" w:cs="Segoe UI"/>
      <w:kern w:val="0"/>
      <w:sz w:val="18"/>
      <w:szCs w:val="18"/>
      <w:lang w:eastAsia="en-US" w:bidi="ar-SA"/>
    </w:rPr>
  </w:style>
  <w:style w:type="character" w:styleId="aff">
    <w:name w:val="FollowedHyperlink"/>
    <w:basedOn w:val="a7"/>
    <w:uiPriority w:val="99"/>
    <w:semiHidden/>
    <w:unhideWhenUsed/>
    <w:rsid w:val="00FF1A3D"/>
    <w:rPr>
      <w:color w:val="96607D" w:themeColor="followedHyperlink"/>
      <w:u w:val="single"/>
    </w:rPr>
  </w:style>
  <w:style w:type="paragraph" w:styleId="Web">
    <w:name w:val="Normal (Web)"/>
    <w:basedOn w:val="a1"/>
    <w:uiPriority w:val="99"/>
    <w:unhideWhenUsed/>
    <w:qFormat/>
    <w:rsid w:val="00FF1A3D"/>
    <w:pPr>
      <w:spacing w:before="100" w:beforeAutospacing="1" w:after="100" w:afterAutospacing="1"/>
    </w:pPr>
    <w:rPr>
      <w:rFonts w:ascii="Times New Roman" w:eastAsia="Times New Roman" w:hAnsi="Times New Roman"/>
      <w:sz w:val="24"/>
      <w:szCs w:val="24"/>
      <w:lang w:val="en-US" w:eastAsia="en-US"/>
    </w:rPr>
  </w:style>
  <w:style w:type="paragraph" w:customStyle="1" w:styleId="Source">
    <w:name w:val="Source"/>
    <w:basedOn w:val="Definition"/>
    <w:link w:val="SourceChar"/>
    <w:qFormat/>
    <w:rsid w:val="00FF1A3D"/>
  </w:style>
  <w:style w:type="character" w:customStyle="1" w:styleId="DefinitionChar">
    <w:name w:val="Definition Char"/>
    <w:basedOn w:val="a7"/>
    <w:link w:val="Definition"/>
    <w:uiPriority w:val="9"/>
    <w:rsid w:val="00FF1A3D"/>
    <w:rPr>
      <w:rFonts w:ascii="Cambria" w:hAnsi="Cambria" w:cs="Times New Roman"/>
      <w:kern w:val="0"/>
      <w:sz w:val="22"/>
      <w:szCs w:val="22"/>
      <w:lang w:eastAsia="en-US" w:bidi="ar-SA"/>
    </w:rPr>
  </w:style>
  <w:style w:type="character" w:customStyle="1" w:styleId="SourceChar">
    <w:name w:val="Source Char"/>
    <w:basedOn w:val="DefinitionChar"/>
    <w:link w:val="Source"/>
    <w:rsid w:val="00FF1A3D"/>
    <w:rPr>
      <w:rFonts w:ascii="Cambria" w:hAnsi="Cambria" w:cs="Times New Roman"/>
      <w:kern w:val="0"/>
      <w:sz w:val="22"/>
      <w:szCs w:val="22"/>
      <w:lang w:eastAsia="en-US" w:bidi="ar-SA"/>
    </w:rPr>
  </w:style>
  <w:style w:type="paragraph" w:customStyle="1" w:styleId="Example">
    <w:name w:val="Example"/>
    <w:basedOn w:val="a1"/>
    <w:link w:val="ExampleChar"/>
    <w:qFormat/>
    <w:rsid w:val="00FF1A3D"/>
    <w:pPr>
      <w:tabs>
        <w:tab w:val="left" w:pos="403"/>
      </w:tabs>
      <w:spacing w:line="240" w:lineRule="atLeast"/>
    </w:pPr>
    <w:rPr>
      <w:sz w:val="20"/>
      <w:szCs w:val="20"/>
      <w:lang w:eastAsia="en-US"/>
    </w:rPr>
  </w:style>
  <w:style w:type="character" w:customStyle="1" w:styleId="ExampleChar">
    <w:name w:val="Example Char"/>
    <w:basedOn w:val="a7"/>
    <w:link w:val="Example"/>
    <w:rsid w:val="00FF1A3D"/>
    <w:rPr>
      <w:rFonts w:ascii="Cambria" w:hAnsi="Cambria" w:cs="Times New Roman"/>
      <w:kern w:val="0"/>
      <w:sz w:val="20"/>
      <w:szCs w:val="20"/>
      <w:lang w:eastAsia="en-US" w:bidi="ar-SA"/>
    </w:rPr>
  </w:style>
  <w:style w:type="paragraph" w:customStyle="1" w:styleId="FigureTitle">
    <w:name w:val="Figure Title"/>
    <w:basedOn w:val="af0"/>
    <w:link w:val="FigureTitleChar"/>
    <w:qFormat/>
    <w:rsid w:val="00FF1A3D"/>
    <w:pPr>
      <w:numPr>
        <w:numId w:val="9"/>
      </w:numPr>
      <w:tabs>
        <w:tab w:val="left" w:pos="403"/>
      </w:tabs>
      <w:spacing w:line="240" w:lineRule="atLeast"/>
      <w:ind w:left="0" w:firstLine="0"/>
      <w:jc w:val="center"/>
    </w:pPr>
    <w:rPr>
      <w:b/>
      <w:bCs/>
      <w:lang w:eastAsia="en-US"/>
    </w:rPr>
  </w:style>
  <w:style w:type="paragraph" w:customStyle="1" w:styleId="AnnexFigureTitle">
    <w:name w:val="Annex Figure Title"/>
    <w:basedOn w:val="a1"/>
    <w:link w:val="AnnexFigureTitleChar"/>
    <w:qFormat/>
    <w:rsid w:val="00FF1A3D"/>
    <w:pPr>
      <w:numPr>
        <w:numId w:val="6"/>
      </w:numPr>
      <w:tabs>
        <w:tab w:val="clear" w:pos="113"/>
        <w:tab w:val="left" w:pos="403"/>
      </w:tabs>
      <w:spacing w:line="240" w:lineRule="atLeast"/>
      <w:ind w:left="0" w:firstLine="0"/>
      <w:jc w:val="center"/>
    </w:pPr>
    <w:rPr>
      <w:b/>
      <w:bCs/>
      <w:lang w:eastAsia="en-US"/>
    </w:rPr>
  </w:style>
  <w:style w:type="paragraph" w:customStyle="1" w:styleId="AnnexTableTitle">
    <w:name w:val="Annex Table Title"/>
    <w:basedOn w:val="af0"/>
    <w:link w:val="AnnexTableTitleChar"/>
    <w:qFormat/>
    <w:rsid w:val="00FF1A3D"/>
    <w:pPr>
      <w:keepNext/>
      <w:pageBreakBefore/>
      <w:numPr>
        <w:numId w:val="7"/>
      </w:numPr>
      <w:tabs>
        <w:tab w:val="clear" w:pos="0"/>
        <w:tab w:val="left" w:pos="403"/>
      </w:tabs>
      <w:spacing w:line="240" w:lineRule="atLeast"/>
      <w:jc w:val="center"/>
    </w:pPr>
    <w:rPr>
      <w:b/>
      <w:lang w:eastAsia="en-US"/>
    </w:rPr>
  </w:style>
  <w:style w:type="character" w:customStyle="1" w:styleId="AnnexTableTitleChar">
    <w:name w:val="Annex Table Title Char"/>
    <w:basedOn w:val="af1"/>
    <w:link w:val="AnnexTableTitle"/>
    <w:rsid w:val="00FF1A3D"/>
    <w:rPr>
      <w:rFonts w:ascii="Cambria" w:hAnsi="Cambria" w:cs="Times New Roman"/>
      <w:b/>
      <w:kern w:val="0"/>
      <w:sz w:val="22"/>
      <w:szCs w:val="22"/>
      <w:lang w:eastAsia="en-US" w:bidi="ar-SA"/>
      <w14:ligatures w14:val="none"/>
    </w:rPr>
  </w:style>
  <w:style w:type="paragraph" w:customStyle="1" w:styleId="Tabletitle">
    <w:name w:val="Table title"/>
    <w:basedOn w:val="af0"/>
    <w:link w:val="TabletitleChar"/>
    <w:qFormat/>
    <w:rsid w:val="00FF1A3D"/>
    <w:pPr>
      <w:numPr>
        <w:numId w:val="8"/>
      </w:numPr>
      <w:tabs>
        <w:tab w:val="left" w:pos="403"/>
      </w:tabs>
      <w:spacing w:line="240" w:lineRule="atLeast"/>
      <w:ind w:left="0" w:firstLine="0"/>
      <w:jc w:val="center"/>
    </w:pPr>
    <w:rPr>
      <w:b/>
      <w:bCs/>
      <w:lang w:val="fr-CH" w:eastAsia="en-US"/>
    </w:rPr>
  </w:style>
  <w:style w:type="character" w:customStyle="1" w:styleId="FigureTitleChar">
    <w:name w:val="Figure Title Char"/>
    <w:basedOn w:val="af1"/>
    <w:link w:val="FigureTitle"/>
    <w:rsid w:val="00FF1A3D"/>
    <w:rPr>
      <w:rFonts w:ascii="Cambria" w:hAnsi="Cambria" w:cs="Times New Roman"/>
      <w:b/>
      <w:bCs/>
      <w:kern w:val="0"/>
      <w:sz w:val="22"/>
      <w:szCs w:val="22"/>
      <w:lang w:eastAsia="en-US" w:bidi="ar-SA"/>
      <w14:ligatures w14:val="none"/>
    </w:rPr>
  </w:style>
  <w:style w:type="character" w:customStyle="1" w:styleId="TabletitleChar">
    <w:name w:val="Table title Char"/>
    <w:basedOn w:val="af1"/>
    <w:link w:val="Tabletitle"/>
    <w:rsid w:val="00FF1A3D"/>
    <w:rPr>
      <w:rFonts w:ascii="Cambria" w:hAnsi="Cambria" w:cs="Times New Roman"/>
      <w:b/>
      <w:bCs/>
      <w:kern w:val="0"/>
      <w:sz w:val="22"/>
      <w:szCs w:val="22"/>
      <w:lang w:val="fr-CH" w:eastAsia="en-US" w:bidi="ar-SA"/>
      <w14:ligatures w14:val="none"/>
    </w:rPr>
  </w:style>
  <w:style w:type="character" w:customStyle="1" w:styleId="AnnexFigureTitleChar">
    <w:name w:val="Annex Figure Title Char"/>
    <w:basedOn w:val="a7"/>
    <w:link w:val="AnnexFigureTitle"/>
    <w:rsid w:val="00FF1A3D"/>
    <w:rPr>
      <w:rFonts w:ascii="Cambria" w:hAnsi="Cambria" w:cs="Times New Roman"/>
      <w:b/>
      <w:bCs/>
      <w:kern w:val="0"/>
      <w:sz w:val="22"/>
      <w:szCs w:val="22"/>
      <w:lang w:eastAsia="en-US" w:bidi="ar-SA"/>
      <w14:ligatures w14:val="none"/>
    </w:rPr>
  </w:style>
  <w:style w:type="character" w:styleId="aff0">
    <w:name w:val="Unresolved Mention"/>
    <w:basedOn w:val="a7"/>
    <w:uiPriority w:val="99"/>
    <w:semiHidden/>
    <w:unhideWhenUsed/>
    <w:rsid w:val="00FF1A3D"/>
    <w:rPr>
      <w:color w:val="605E5C"/>
      <w:shd w:val="clear" w:color="auto" w:fill="E1DFDD"/>
    </w:rPr>
  </w:style>
  <w:style w:type="paragraph" w:customStyle="1" w:styleId="Pa17">
    <w:name w:val="Pa17"/>
    <w:basedOn w:val="a1"/>
    <w:next w:val="a1"/>
    <w:uiPriority w:val="99"/>
    <w:rsid w:val="00FF1A3D"/>
    <w:pPr>
      <w:autoSpaceDE w:val="0"/>
      <w:autoSpaceDN w:val="0"/>
      <w:adjustRightInd w:val="0"/>
      <w:spacing w:after="0" w:line="201" w:lineRule="atLeast"/>
    </w:pPr>
    <w:rPr>
      <w:rFonts w:eastAsia="ＭＳ 明朝" w:cs="Mangal"/>
      <w:sz w:val="24"/>
      <w:szCs w:val="24"/>
      <w:lang w:eastAsia="en-US"/>
    </w:rPr>
  </w:style>
  <w:style w:type="paragraph" w:styleId="aff1">
    <w:name w:val="footnote text"/>
    <w:basedOn w:val="a1"/>
    <w:link w:val="aff2"/>
    <w:uiPriority w:val="99"/>
    <w:unhideWhenUsed/>
    <w:rsid w:val="00FF1A3D"/>
    <w:pPr>
      <w:tabs>
        <w:tab w:val="left" w:pos="403"/>
      </w:tabs>
      <w:snapToGrid w:val="0"/>
      <w:spacing w:line="240" w:lineRule="atLeast"/>
    </w:pPr>
    <w:rPr>
      <w:lang w:eastAsia="en-US"/>
    </w:rPr>
  </w:style>
  <w:style w:type="character" w:customStyle="1" w:styleId="aff2">
    <w:name w:val="脚注文字列 (文字)"/>
    <w:basedOn w:val="a7"/>
    <w:link w:val="aff1"/>
    <w:uiPriority w:val="99"/>
    <w:rsid w:val="00FF1A3D"/>
    <w:rPr>
      <w:rFonts w:ascii="Cambria" w:hAnsi="Cambria" w:cs="Times New Roman"/>
      <w:kern w:val="0"/>
      <w:sz w:val="22"/>
      <w:szCs w:val="22"/>
      <w:lang w:eastAsia="en-US" w:bidi="ar-SA"/>
    </w:rPr>
  </w:style>
  <w:style w:type="character" w:styleId="aff3">
    <w:name w:val="footnote reference"/>
    <w:basedOn w:val="a7"/>
    <w:uiPriority w:val="99"/>
    <w:semiHidden/>
    <w:unhideWhenUsed/>
    <w:rsid w:val="00FF1A3D"/>
    <w:rPr>
      <w:vertAlign w:val="superscript"/>
    </w:rPr>
  </w:style>
  <w:style w:type="character" w:customStyle="1" w:styleId="A80">
    <w:name w:val="A8"/>
    <w:uiPriority w:val="99"/>
    <w:rsid w:val="00FF1A3D"/>
    <w:rPr>
      <w:rFonts w:cs="Cambria"/>
      <w:color w:val="053BF5"/>
      <w:sz w:val="22"/>
      <w:szCs w:val="22"/>
      <w:u w:val="single"/>
    </w:rPr>
  </w:style>
  <w:style w:type="character" w:customStyle="1" w:styleId="A13">
    <w:name w:val="A13"/>
    <w:uiPriority w:val="99"/>
    <w:rsid w:val="00FF1A3D"/>
    <w:rPr>
      <w:rFonts w:cs="Cambria"/>
      <w:color w:val="053BF5"/>
      <w:sz w:val="20"/>
      <w:szCs w:val="20"/>
      <w:u w:val="single"/>
    </w:rPr>
  </w:style>
  <w:style w:type="table" w:customStyle="1" w:styleId="ADSTable">
    <w:name w:val="ADS_Table"/>
    <w:basedOn w:val="a8"/>
    <w:uiPriority w:val="99"/>
    <w:rsid w:val="00FF1A3D"/>
    <w:pPr>
      <w:spacing w:after="0" w:line="240" w:lineRule="auto"/>
      <w:jc w:val="center"/>
    </w:pPr>
    <w:rPr>
      <w:rFonts w:ascii="Cambria" w:eastAsiaTheme="minorHAnsi" w:hAnsi="Cambria"/>
      <w:kern w:val="0"/>
      <w:sz w:val="20"/>
      <w:szCs w:val="22"/>
      <w:lang w:val="en-US" w:eastAsia="en-US" w:bidi="ar-SA"/>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vAlign w:val="center"/>
    </w:tcPr>
    <w:tblStylePr w:type="firstRow">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shd w:val="clear" w:color="auto" w:fill="auto"/>
      </w:tcPr>
    </w:tblStylePr>
  </w:style>
  <w:style w:type="paragraph" w:customStyle="1" w:styleId="western">
    <w:name w:val="western"/>
    <w:basedOn w:val="a1"/>
    <w:qFormat/>
    <w:rsid w:val="00FF1A3D"/>
    <w:pPr>
      <w:spacing w:before="100" w:beforeAutospacing="1" w:after="119" w:line="238" w:lineRule="atLeast"/>
    </w:pPr>
    <w:rPr>
      <w:rFonts w:eastAsia="Times New Roman"/>
      <w:color w:val="000000"/>
      <w:lang w:val="nl-NL" w:eastAsia="nl-NL"/>
    </w:rPr>
  </w:style>
  <w:style w:type="paragraph" w:styleId="aff4">
    <w:name w:val="List Number"/>
    <w:basedOn w:val="a1"/>
    <w:uiPriority w:val="99"/>
    <w:unhideWhenUsed/>
    <w:rsid w:val="00FF1A3D"/>
    <w:pPr>
      <w:tabs>
        <w:tab w:val="left" w:pos="403"/>
      </w:tabs>
      <w:spacing w:line="240" w:lineRule="atLeast"/>
      <w:contextualSpacing/>
    </w:pPr>
    <w:rPr>
      <w:lang w:eastAsia="en-US"/>
    </w:rPr>
  </w:style>
  <w:style w:type="character" w:styleId="aff5">
    <w:name w:val="line number"/>
    <w:basedOn w:val="a7"/>
    <w:uiPriority w:val="99"/>
    <w:unhideWhenUsed/>
    <w:rsid w:val="00FF1A3D"/>
  </w:style>
  <w:style w:type="paragraph" w:styleId="41">
    <w:name w:val="toc 4"/>
    <w:basedOn w:val="a1"/>
    <w:next w:val="a1"/>
    <w:autoRedefine/>
    <w:uiPriority w:val="39"/>
    <w:unhideWhenUsed/>
    <w:rsid w:val="00FF1A3D"/>
    <w:pPr>
      <w:spacing w:after="100" w:line="259" w:lineRule="auto"/>
      <w:ind w:left="660"/>
    </w:pPr>
    <w:rPr>
      <w:rFonts w:asciiTheme="minorHAnsi" w:hAnsiTheme="minorHAnsi"/>
      <w:lang w:val="nl-NL" w:eastAsia="nl-NL"/>
    </w:rPr>
  </w:style>
  <w:style w:type="paragraph" w:styleId="51">
    <w:name w:val="toc 5"/>
    <w:basedOn w:val="a1"/>
    <w:next w:val="a1"/>
    <w:autoRedefine/>
    <w:uiPriority w:val="39"/>
    <w:unhideWhenUsed/>
    <w:rsid w:val="00FF1A3D"/>
    <w:pPr>
      <w:spacing w:after="100" w:line="259" w:lineRule="auto"/>
      <w:ind w:left="880"/>
    </w:pPr>
    <w:rPr>
      <w:rFonts w:asciiTheme="minorHAnsi" w:hAnsiTheme="minorHAnsi"/>
      <w:lang w:val="nl-NL" w:eastAsia="nl-NL"/>
    </w:rPr>
  </w:style>
  <w:style w:type="paragraph" w:styleId="61">
    <w:name w:val="toc 6"/>
    <w:basedOn w:val="a1"/>
    <w:next w:val="a1"/>
    <w:autoRedefine/>
    <w:uiPriority w:val="39"/>
    <w:unhideWhenUsed/>
    <w:rsid w:val="00FF1A3D"/>
    <w:pPr>
      <w:spacing w:after="100" w:line="259" w:lineRule="auto"/>
      <w:ind w:left="1100"/>
    </w:pPr>
    <w:rPr>
      <w:rFonts w:asciiTheme="minorHAnsi" w:hAnsiTheme="minorHAnsi"/>
      <w:lang w:val="nl-NL" w:eastAsia="nl-NL"/>
    </w:rPr>
  </w:style>
  <w:style w:type="paragraph" w:styleId="71">
    <w:name w:val="toc 7"/>
    <w:basedOn w:val="a1"/>
    <w:next w:val="a1"/>
    <w:autoRedefine/>
    <w:uiPriority w:val="39"/>
    <w:unhideWhenUsed/>
    <w:rsid w:val="00FF1A3D"/>
    <w:pPr>
      <w:spacing w:after="100" w:line="259" w:lineRule="auto"/>
      <w:ind w:left="1320"/>
    </w:pPr>
    <w:rPr>
      <w:rFonts w:asciiTheme="minorHAnsi" w:hAnsiTheme="minorHAnsi"/>
      <w:lang w:val="nl-NL" w:eastAsia="nl-NL"/>
    </w:rPr>
  </w:style>
  <w:style w:type="paragraph" w:styleId="81">
    <w:name w:val="toc 8"/>
    <w:basedOn w:val="a1"/>
    <w:next w:val="a1"/>
    <w:autoRedefine/>
    <w:uiPriority w:val="39"/>
    <w:unhideWhenUsed/>
    <w:rsid w:val="00FF1A3D"/>
    <w:pPr>
      <w:spacing w:after="100" w:line="259" w:lineRule="auto"/>
      <w:ind w:left="1540"/>
    </w:pPr>
    <w:rPr>
      <w:rFonts w:asciiTheme="minorHAnsi" w:hAnsiTheme="minorHAnsi"/>
      <w:lang w:val="nl-NL" w:eastAsia="nl-NL"/>
    </w:rPr>
  </w:style>
  <w:style w:type="paragraph" w:styleId="91">
    <w:name w:val="toc 9"/>
    <w:basedOn w:val="a1"/>
    <w:next w:val="a1"/>
    <w:autoRedefine/>
    <w:uiPriority w:val="39"/>
    <w:unhideWhenUsed/>
    <w:rsid w:val="00FF1A3D"/>
    <w:pPr>
      <w:spacing w:after="100" w:line="259" w:lineRule="auto"/>
      <w:ind w:left="1760"/>
    </w:pPr>
    <w:rPr>
      <w:rFonts w:asciiTheme="minorHAnsi" w:hAnsiTheme="minorHAnsi"/>
      <w:lang w:val="nl-NL" w:eastAsia="nl-NL"/>
    </w:rPr>
  </w:style>
  <w:style w:type="character" w:styleId="HTML">
    <w:name w:val="HTML Code"/>
    <w:basedOn w:val="a7"/>
    <w:uiPriority w:val="99"/>
    <w:semiHidden/>
    <w:unhideWhenUsed/>
    <w:rsid w:val="00FF1A3D"/>
    <w:rPr>
      <w:rFonts w:ascii="Courier New" w:eastAsia="Times New Roman" w:hAnsi="Courier New" w:cs="Courier New"/>
      <w:sz w:val="20"/>
      <w:szCs w:val="20"/>
    </w:rPr>
  </w:style>
  <w:style w:type="paragraph" w:customStyle="1" w:styleId="Pa22">
    <w:name w:val="Pa22"/>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customStyle="1" w:styleId="Pa13">
    <w:name w:val="Pa13"/>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styleId="aff6">
    <w:name w:val="Date"/>
    <w:basedOn w:val="a1"/>
    <w:next w:val="a1"/>
    <w:link w:val="aff7"/>
    <w:uiPriority w:val="99"/>
    <w:semiHidden/>
    <w:unhideWhenUsed/>
    <w:rsid w:val="00FF1A3D"/>
    <w:pPr>
      <w:tabs>
        <w:tab w:val="left" w:pos="403"/>
      </w:tabs>
      <w:spacing w:after="240" w:line="240" w:lineRule="atLeast"/>
    </w:pPr>
    <w:rPr>
      <w:rFonts w:eastAsia="ＭＳ 明朝"/>
      <w:lang w:eastAsia="en-US"/>
    </w:rPr>
  </w:style>
  <w:style w:type="character" w:customStyle="1" w:styleId="aff7">
    <w:name w:val="日付 (文字)"/>
    <w:basedOn w:val="a7"/>
    <w:link w:val="aff6"/>
    <w:uiPriority w:val="99"/>
    <w:semiHidden/>
    <w:rsid w:val="00FF1A3D"/>
    <w:rPr>
      <w:rFonts w:ascii="Cambria" w:eastAsia="ＭＳ 明朝" w:hAnsi="Cambria" w:cs="Times New Roman"/>
      <w:kern w:val="0"/>
      <w:sz w:val="22"/>
      <w:szCs w:val="22"/>
      <w:lang w:eastAsia="en-US" w:bidi="ar-SA"/>
    </w:rPr>
  </w:style>
  <w:style w:type="paragraph" w:styleId="aff8">
    <w:name w:val="TOC Heading"/>
    <w:basedOn w:val="10"/>
    <w:next w:val="a1"/>
    <w:uiPriority w:val="39"/>
    <w:unhideWhenUsed/>
    <w:qFormat/>
    <w:rsid w:val="00715FD2"/>
    <w:pPr>
      <w:spacing w:after="0" w:line="259" w:lineRule="auto"/>
      <w:ind w:left="0" w:firstLine="0"/>
      <w:outlineLvl w:val="9"/>
    </w:pPr>
    <w:rPr>
      <w:b w:val="0"/>
      <w:bCs w:val="0"/>
      <w:sz w:val="32"/>
      <w:szCs w:val="32"/>
      <w:lang w:eastAsia="en-US"/>
    </w:rPr>
  </w:style>
  <w:style w:type="paragraph" w:styleId="aff9">
    <w:name w:val="table of figures"/>
    <w:basedOn w:val="a1"/>
    <w:next w:val="a1"/>
    <w:uiPriority w:val="99"/>
    <w:unhideWhenUsed/>
    <w:rsid w:val="00FF1A3D"/>
    <w:pPr>
      <w:spacing w:after="0" w:line="240" w:lineRule="atLeast"/>
    </w:pPr>
    <w:rPr>
      <w:rFonts w:eastAsia="Calibri"/>
      <w:lang w:eastAsia="en-US"/>
    </w:rPr>
  </w:style>
  <w:style w:type="paragraph" w:styleId="a">
    <w:name w:val="List Bullet"/>
    <w:basedOn w:val="a1"/>
    <w:uiPriority w:val="99"/>
    <w:unhideWhenUsed/>
    <w:rsid w:val="00FF1A3D"/>
    <w:pPr>
      <w:numPr>
        <w:numId w:val="10"/>
      </w:numPr>
      <w:tabs>
        <w:tab w:val="left" w:pos="270"/>
      </w:tabs>
      <w:spacing w:line="240" w:lineRule="atLeast"/>
    </w:pPr>
    <w:rPr>
      <w:rFonts w:eastAsia="Calibri"/>
    </w:rPr>
  </w:style>
  <w:style w:type="paragraph" w:styleId="affa">
    <w:name w:val="Bibliography"/>
    <w:basedOn w:val="a1"/>
    <w:next w:val="a1"/>
    <w:uiPriority w:val="37"/>
    <w:unhideWhenUsed/>
    <w:rsid w:val="00FF1A3D"/>
    <w:pPr>
      <w:tabs>
        <w:tab w:val="left" w:pos="403"/>
      </w:tabs>
      <w:spacing w:line="240" w:lineRule="atLeast"/>
    </w:pPr>
    <w:rPr>
      <w:rFonts w:eastAsia="Calibri"/>
      <w:lang w:eastAsia="en-US"/>
    </w:rPr>
  </w:style>
  <w:style w:type="paragraph" w:styleId="1">
    <w:name w:val="index 1"/>
    <w:basedOn w:val="a1"/>
    <w:next w:val="a1"/>
    <w:autoRedefine/>
    <w:uiPriority w:val="99"/>
    <w:unhideWhenUsed/>
    <w:rsid w:val="00FF1A3D"/>
    <w:pPr>
      <w:numPr>
        <w:numId w:val="11"/>
      </w:numPr>
      <w:ind w:left="0" w:firstLine="0"/>
    </w:pPr>
    <w:rPr>
      <w:rFonts w:eastAsia="Calibri"/>
      <w:lang w:eastAsia="en-US"/>
    </w:rPr>
  </w:style>
  <w:style w:type="paragraph" w:styleId="affb">
    <w:name w:val="Revision"/>
    <w:hidden/>
    <w:uiPriority w:val="99"/>
    <w:semiHidden/>
    <w:rsid w:val="00FF1A3D"/>
    <w:pPr>
      <w:spacing w:after="0" w:line="240" w:lineRule="auto"/>
    </w:pPr>
    <w:rPr>
      <w:rFonts w:ascii="Cambria" w:eastAsia="Calibri" w:hAnsi="Cambria" w:cs="Times New Roman"/>
      <w:kern w:val="0"/>
      <w:sz w:val="22"/>
      <w:szCs w:val="22"/>
      <w:lang w:eastAsia="en-US" w:bidi="ar-SA"/>
    </w:rPr>
  </w:style>
  <w:style w:type="paragraph" w:customStyle="1" w:styleId="Default">
    <w:name w:val="Default"/>
    <w:rsid w:val="00FF1A3D"/>
    <w:pPr>
      <w:autoSpaceDE w:val="0"/>
      <w:autoSpaceDN w:val="0"/>
      <w:adjustRightInd w:val="0"/>
      <w:spacing w:after="0" w:line="240" w:lineRule="auto"/>
    </w:pPr>
    <w:rPr>
      <w:rFonts w:ascii="Cambria" w:eastAsia="ＭＳ 明朝" w:hAnsi="Cambria" w:cs="Cambria"/>
      <w:color w:val="000000"/>
      <w:kern w:val="0"/>
      <w:szCs w:val="24"/>
      <w:lang w:eastAsia="en-US"/>
    </w:rPr>
  </w:style>
  <w:style w:type="paragraph" w:customStyle="1" w:styleId="Title1">
    <w:name w:val="Title1"/>
    <w:basedOn w:val="a1"/>
    <w:rsid w:val="00FF1A3D"/>
    <w:pPr>
      <w:tabs>
        <w:tab w:val="left" w:pos="403"/>
      </w:tabs>
      <w:spacing w:before="240" w:after="240" w:line="360" w:lineRule="auto"/>
    </w:pPr>
    <w:rPr>
      <w:b/>
      <w:color w:val="000000"/>
      <w:sz w:val="48"/>
      <w:lang w:eastAsia="en-US"/>
    </w:rPr>
  </w:style>
  <w:style w:type="paragraph" w:styleId="affc">
    <w:name w:val="No Spacing"/>
    <w:uiPriority w:val="1"/>
    <w:qFormat/>
    <w:rsid w:val="00FF1A3D"/>
    <w:pPr>
      <w:tabs>
        <w:tab w:val="left" w:pos="403"/>
      </w:tabs>
      <w:spacing w:after="0" w:line="240" w:lineRule="auto"/>
      <w:jc w:val="both"/>
    </w:pPr>
    <w:rPr>
      <w:rFonts w:ascii="Cambria" w:hAnsi="Cambria" w:cs="Times New Roman"/>
      <w:kern w:val="0"/>
      <w:sz w:val="22"/>
      <w:szCs w:val="22"/>
      <w:lang w:eastAsia="en-US" w:bidi="ar-SA"/>
    </w:rPr>
  </w:style>
  <w:style w:type="paragraph" w:customStyle="1" w:styleId="msonormal0">
    <w:name w:val="msonormal"/>
    <w:basedOn w:val="a1"/>
    <w:rsid w:val="00FF1A3D"/>
    <w:pPr>
      <w:spacing w:before="100" w:beforeAutospacing="1" w:after="100" w:afterAutospacing="1"/>
    </w:pPr>
    <w:rPr>
      <w:rFonts w:ascii="Times New Roman" w:eastAsia="Times New Roman" w:hAnsi="Times New Roman"/>
      <w:sz w:val="24"/>
      <w:szCs w:val="24"/>
    </w:rPr>
  </w:style>
  <w:style w:type="paragraph" w:customStyle="1" w:styleId="xl65">
    <w:name w:val="xl65"/>
    <w:basedOn w:val="a1"/>
    <w:rsid w:val="00FF1A3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Times New Roman" w:eastAsia="Times New Roman" w:hAnsi="Times New Roman"/>
      <w:sz w:val="24"/>
      <w:szCs w:val="24"/>
    </w:rPr>
  </w:style>
  <w:style w:type="paragraph" w:customStyle="1" w:styleId="xl66">
    <w:name w:val="xl66"/>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3">
    <w:name w:val="xl63"/>
    <w:basedOn w:val="a1"/>
    <w:rsid w:val="00FF1A3D"/>
    <w:pPr>
      <w:spacing w:before="100" w:beforeAutospacing="1" w:after="100" w:afterAutospacing="1"/>
      <w:textAlignment w:val="center"/>
    </w:pPr>
    <w:rPr>
      <w:rFonts w:ascii="Times New Roman" w:eastAsia="Times New Roman" w:hAnsi="Times New Roman"/>
      <w:sz w:val="24"/>
      <w:szCs w:val="24"/>
    </w:rPr>
  </w:style>
  <w:style w:type="paragraph" w:customStyle="1" w:styleId="xl64">
    <w:name w:val="xl64"/>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7">
    <w:name w:val="xl67"/>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sz w:val="24"/>
      <w:szCs w:val="24"/>
    </w:rPr>
  </w:style>
  <w:style w:type="paragraph" w:customStyle="1" w:styleId="xl68">
    <w:name w:val="xl68"/>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styleId="32">
    <w:name w:val="List Bullet 3"/>
    <w:basedOn w:val="a1"/>
    <w:uiPriority w:val="99"/>
    <w:unhideWhenUsed/>
    <w:rsid w:val="00FF1A3D"/>
    <w:pPr>
      <w:tabs>
        <w:tab w:val="left" w:pos="403"/>
        <w:tab w:val="num" w:pos="926"/>
      </w:tabs>
      <w:spacing w:line="240" w:lineRule="atLeast"/>
      <w:ind w:left="926" w:hanging="360"/>
      <w:contextualSpacing/>
    </w:pPr>
    <w:rPr>
      <w:lang w:eastAsia="en-US"/>
    </w:rPr>
  </w:style>
  <w:style w:type="paragraph" w:customStyle="1" w:styleId="Title2">
    <w:name w:val="Title2"/>
    <w:basedOn w:val="a1"/>
    <w:rsid w:val="00FF1A3D"/>
    <w:pPr>
      <w:tabs>
        <w:tab w:val="left" w:pos="403"/>
      </w:tabs>
      <w:spacing w:before="240" w:after="240" w:line="360" w:lineRule="auto"/>
    </w:pPr>
    <w:rPr>
      <w:b/>
      <w:color w:val="000000"/>
      <w:sz w:val="48"/>
      <w:lang w:eastAsia="en-US"/>
    </w:rPr>
  </w:style>
  <w:style w:type="character" w:styleId="affd">
    <w:name w:val="Emphasis"/>
    <w:basedOn w:val="a7"/>
    <w:uiPriority w:val="20"/>
    <w:qFormat/>
    <w:rsid w:val="00FF1A3D"/>
    <w:rPr>
      <w:i/>
      <w:iCs/>
    </w:rPr>
  </w:style>
  <w:style w:type="character" w:customStyle="1" w:styleId="citation-505">
    <w:name w:val="citation-505"/>
    <w:basedOn w:val="a7"/>
    <w:rsid w:val="005728D1"/>
  </w:style>
  <w:style w:type="character" w:customStyle="1" w:styleId="citation-1761">
    <w:name w:val="citation-1761"/>
    <w:basedOn w:val="a7"/>
    <w:rsid w:val="00C46473"/>
  </w:style>
  <w:style w:type="character" w:customStyle="1" w:styleId="citation-1760">
    <w:name w:val="citation-1760"/>
    <w:basedOn w:val="a7"/>
    <w:rsid w:val="00C46473"/>
  </w:style>
  <w:style w:type="character" w:customStyle="1" w:styleId="citation-1759">
    <w:name w:val="citation-1759"/>
    <w:basedOn w:val="a7"/>
    <w:rsid w:val="00C46473"/>
  </w:style>
  <w:style w:type="character" w:customStyle="1" w:styleId="citation-487">
    <w:name w:val="citation-487"/>
    <w:basedOn w:val="a7"/>
    <w:rsid w:val="00572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ietf.org/rfc/rfc2119.txt" TargetMode="External"/><Relationship Id="rId18" Type="http://schemas.openxmlformats.org/officeDocument/2006/relationships/hyperlink" Target="http://www.w3.org/TR/xlink/"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pecifications.xbrl.or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xbrl.org/taxonomyrecognition/taxonomy-recognition-acknowledgement-process-2013-04-09.htm" TargetMode="External"/><Relationship Id="rId20" Type="http://schemas.openxmlformats.org/officeDocument/2006/relationships/hyperlink" Target="https://www.xbrl.org/int/gl/2015-03-25/gl-framework-REC-2015-03-25.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w3.org/TR/xmlschema-1/"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xbrl.org/int/gl/2015-03-25/GLTFTA-REC-2015-03-25.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3.org/TR/xpath20/" TargetMode="External"/><Relationship Id="rId22" Type="http://schemas.openxmlformats.org/officeDocument/2006/relationships/header" Target="header2.xml"/><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E01BD-8164-4A70-828D-0730F73A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68</Pages>
  <Words>25696</Words>
  <Characters>146473</Characters>
  <Application>Microsoft Office Word</Application>
  <DocSecurity>0</DocSecurity>
  <Lines>1220</Lines>
  <Paragraphs>343</Paragraphs>
  <ScaleCrop>false</ScaleCrop>
  <HeadingPairs>
    <vt:vector size="4" baseType="variant">
      <vt:variant>
        <vt:lpstr>タイトル</vt:lpstr>
      </vt:variant>
      <vt:variant>
        <vt:i4>1</vt:i4>
      </vt:variant>
      <vt:variant>
        <vt:lpstr>見出し</vt:lpstr>
      </vt:variant>
      <vt:variant>
        <vt:i4>82</vt:i4>
      </vt:variant>
    </vt:vector>
  </HeadingPairs>
  <TitlesOfParts>
    <vt:vector size="83" baseType="lpstr">
      <vt:lpstr/>
      <vt:lpstr>Status</vt:lpstr>
      <vt:lpstr>Abstract</vt:lpstr>
      <vt:lpstr/>
      <vt:lpstr>1 Language independence</vt:lpstr>
      <vt:lpstr>2 Introduction</vt:lpstr>
      <vt:lpstr>    2.1 Scope of this document</vt:lpstr>
      <vt:lpstr>    2.2 Terminology and document conventions</vt:lpstr>
      <vt:lpstr>    2.3 Relationship to Parts 2 and 3</vt:lpstr>
      <vt:lpstr>3 Requirements and motivation</vt:lpstr>
      <vt:lpstr/>
      <vt:lpstr>4 Framework architecture overview</vt:lpstr>
      <vt:lpstr>    4.1 Layered semantic model (FSM, BSM, LHM)</vt:lpstr>
      <vt:lpstr>    4.2 Graph walk</vt:lpstr>
      <vt:lpstr>        4.2.1 Specialisation (FSM → BSM)</vt:lpstr>
      <vt:lpstr>        4.2.2 Graph walk (BSM → LHM)</vt:lpstr>
      <vt:lpstr>    4.3 Modules and profiles</vt:lpstr>
      <vt:lpstr>        4.3.1 Module types</vt:lpstr>
      <vt:lpstr>        4.3.2 Profiles</vt:lpstr>
      <vt:lpstr>        4.4 Semantic and syntax bindings</vt:lpstr>
      <vt:lpstr/>
      <vt:lpstr>5 Extension mechanisms and governance</vt:lpstr>
      <vt:lpstr>    5.1 Overview</vt:lpstr>
      <vt:lpstr>    5.2 Shared extensions</vt:lpstr>
      <vt:lpstr>    5.3 Aligned extensions and aligned pool registry</vt:lpstr>
      <vt:lpstr>    5.4 Distinct extensions</vt:lpstr>
      <vt:lpstr>    5.5 Compatibility with the 2015 folder “case-*” convention</vt:lpstr>
      <vt:lpstr>    5.6 Profile realisation</vt:lpstr>
      <vt:lpstr>    5.7 Profiles and manifests: characterising extension points</vt:lpstr>
      <vt:lpstr>        5.7.1 Profile responsibilities</vt:lpstr>
      <vt:lpstr>        5.7.2 Extension governance</vt:lpstr>
      <vt:lpstr>    5.6 Versioning, identifiers, and deprecation</vt:lpstr>
      <vt:lpstr/>
      <vt:lpstr>6 Graph walk</vt:lpstr>
      <vt:lpstr>    6.1 Clarifying Graph Walk Navigation</vt:lpstr>
      <vt:lpstr>    6.2 Specializing FSM into BSM</vt:lpstr>
      <vt:lpstr>        6.2.1 Specialization</vt:lpstr>
      <vt:lpstr>        6.2.2 Modification of associations</vt:lpstr>
      <vt:lpstr>        6.2.3 Specialization with graph walk</vt:lpstr>
      <vt:lpstr>    6.3 Graph walk for building HMD from BSM</vt:lpstr>
      <vt:lpstr>        6.3.1 Overview</vt:lpstr>
      <vt:lpstr>        6.3.2 Normal navigation</vt:lpstr>
      <vt:lpstr/>
      <vt:lpstr>7 Modules and profiles</vt:lpstr>
      <vt:lpstr>    7.1 Module model overview</vt:lpstr>
      <vt:lpstr>    7.2 Baseline module set</vt:lpstr>
      <vt:lpstr>    7.3 Module extension principle</vt:lpstr>
      <vt:lpstr>    7.4 Profiles and jurisdiction assemblies</vt:lpstr>
      <vt:lpstr>    7.5 Jurisdiction modules (naming and governance)</vt:lpstr>
      <vt:lpstr>8 Palette taxonomy</vt:lpstr>
      <vt:lpstr>    8.1 Purpose</vt:lpstr>
      <vt:lpstr>    8.2 Definition</vt:lpstr>
      <vt:lpstr>    8.3 Palette taxonomy realisations (XML and OIM)</vt:lpstr>
      <vt:lpstr>        8.3.1 XBRL 2.1 / XML realisation (palette schema)</vt:lpstr>
      <vt:lpstr>        8.3.2 Multi-Layered Hypercube Dimension for OIM Taxonomy</vt:lpstr>
      <vt:lpstr>    8.9 Content Models</vt:lpstr>
      <vt:lpstr>        8.9.1 Palette taxonomy</vt:lpstr>
      <vt:lpstr>        8.9.2 Palette profile</vt:lpstr>
      <vt:lpstr>        8.9.3 Profiles and Manifests: Characterizing Extension Points</vt:lpstr>
      <vt:lpstr>9 How to create extensions within the GL Taxonomy Framework</vt:lpstr>
      <vt:lpstr>    9.1 Public extensions including aligned extensions</vt:lpstr>
      <vt:lpstr>    9.2 Private extensions for distinct or local use</vt:lpstr>
      <vt:lpstr/>
      <vt:lpstr>10 Syntax binding</vt:lpstr>
      <vt:lpstr>    10.1 Overview</vt:lpstr>
      <vt:lpstr>    10.2 Binding artefacts</vt:lpstr>
      <vt:lpstr>    10.3 Example: “VAT category taxable amount” (EN 16931 BT-116)</vt:lpstr>
      <vt:lpstr>        10.3.1 UBL 2.1 (Peppol BIS Billing 3.0 – UBL Invoice)</vt:lpstr>
      <vt:lpstr>        10.3.2 UN/CEFACT CII D16B (EN 16931 CII)</vt:lpstr>
      <vt:lpstr>        10.3.3 Example syntax binding table entry</vt:lpstr>
      <vt:lpstr>        10.3.4. Syntax binding example: XBRL GL tuple palette taxonomy</vt:lpstr>
      <vt:lpstr>(non-normative) Example: Extending “Sales Order” and “Purchase Order” from abstr</vt:lpstr>
      <vt:lpstr>    Two-phase architecture</vt:lpstr>
      <vt:lpstr>        Specialization Processing (Phase 1 of Graph Walk)</vt:lpstr>
      <vt:lpstr>        Normal Graph Walk Processing (Phase 2 of Graph Walk)</vt:lpstr>
      <vt:lpstr>    Abstract class 'Order' and its specialization</vt:lpstr>
      <vt:lpstr>(non-normative) Example of the normal navigation graph walk</vt:lpstr>
      <vt:lpstr>    Graph Walk: Defining HMD in LHM by copying BSM</vt:lpstr>
      <vt:lpstr>    The graph walk process for the root class A</vt:lpstr>
      <vt:lpstr>References</vt:lpstr>
      <vt:lpstr>(non-normative) Intellectual property status</vt:lpstr>
      <vt:lpstr>(non-normative) Document history</vt:lpstr>
      <vt:lpstr>(non-normative) Errata corrections in this document</vt:lpstr>
    </vt:vector>
  </TitlesOfParts>
  <Company/>
  <LinksUpToDate>false</LinksUpToDate>
  <CharactersWithSpaces>171826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UADC Detailed Program Specification - Flat CSV</dc:title>
  <dc:subject>Implementation-level program specification</dc:subject>
  <dc:creator>Nobuyuki SAMBUICHI</dc:creator>
  <cp:keywords/>
  <dc:description>Revised collaborative-review draft dated 2026-07-28. Clarifies semantic-model authority, specialization, graph walk, LIFO processing frames, associated-Class traversal, modules, profiles, the palette model, extension results, and build records.</dc:description>
  <cp:lastModifiedBy>Codex</cp:lastModifiedBy>
  <cp:revision>12</cp:revision>
  <cp:lastPrinted>2026-08-05T00:38:00Z</cp:lastPrinted>
  <dcterms:created xsi:type="dcterms:W3CDTF">2026-08-16T07:00:00Z</dcterms:created>
  <dcterms:modified xsi:type="dcterms:W3CDTF">2026-08-16T07:00:00Z</dcterms:modified>
  <cp:version>12</cp:version>
</cp:coreProperties>
</file>