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shd w:fill="f8f9fa" w:val="clear"/>
            <w:rtl w:val="0"/>
          </w:rPr>
          <w:t xml:space="preserve">Oscar Matus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shd w:fill="f8f9fa" w:val="clear"/>
          <w:rtl w:val="0"/>
        </w:rPr>
        <w:t xml:space="preserve">,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shd w:fill="f8f9fa" w:val="clear"/>
            <w:rtl w:val="0"/>
          </w:rPr>
          <w:t xml:space="preserve">Armando Tejada Gómez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shd w:fill="f8f9fa" w:val="clear"/>
          <w:rtl w:val="0"/>
        </w:rPr>
        <w:t xml:space="preserve"> y Mercedes Sosa formaron un decisivo trío artístico, que llevó a crear el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shd w:fill="f8f9fa" w:val="clear"/>
            <w:rtl w:val="0"/>
          </w:rPr>
          <w:t xml:space="preserve">Movimiento del Nuevo Cancionero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shd w:fill="f8f9fa" w:val="clear"/>
          <w:rtl w:val="0"/>
        </w:rPr>
        <w:t xml:space="preserve"> en 1963, en el marco del llamado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shd w:fill="f8f9fa" w:val="clear"/>
            <w:rtl w:val="0"/>
          </w:rPr>
          <w:t xml:space="preserve">boom del folclore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Historia_de_la_m%C3%BAsica_folcl%C3%B3rica_de_Argentina#El_boom_del_folcl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Oscar_Matus" TargetMode="External"/><Relationship Id="rId7" Type="http://schemas.openxmlformats.org/officeDocument/2006/relationships/hyperlink" Target="https://es.wikipedia.org/wiki/Armando_Tejada_G%C3%B3mez" TargetMode="External"/><Relationship Id="rId8" Type="http://schemas.openxmlformats.org/officeDocument/2006/relationships/hyperlink" Target="https://es.wikipedia.org/wiki/Movimiento_del_Nuevo_Cancion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