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a07b85ef2e1f9e6ed7916d24655863d261627a"/>
    <w:p>
      <w:pPr>
        <w:pStyle w:val="Heading1"/>
      </w:pPr>
      <w:r>
        <w:t xml:space="preserve">Accordo per il trattamento dei dati personali</w:t>
      </w:r>
    </w:p>
    <w:p>
      <w:pPr>
        <w:pStyle w:val="FirstParagraph"/>
      </w:pPr>
      <w:r>
        <w:rPr>
          <w:iCs/>
          <w:i/>
        </w:rPr>
        <w:t xml:space="preserve">Nomina a responsabile del trattamento ai sensi dell’art. 28 del Regolamento (UE) 2016/679 — pilota Kalamos AI</w:t>
      </w:r>
    </w:p>
    <w:p>
      <w:pPr>
        <w:pStyle w:val="BlockText"/>
      </w:pPr>
      <w:r>
        <w:rPr>
          <w:bCs/>
          <w:b/>
        </w:rPr>
        <w:t xml:space="preserve">Bozza di lavoro, versione 1 del 16 ottobre 2026.</w:t>
      </w:r>
      <w:r>
        <w:t xml:space="preserve"> </w:t>
      </w:r>
      <w:r>
        <w:t xml:space="preserve">Non è un parere legale e non va firmata prima della revisione di un avvocato abilitato. I punti da fargli validare sono in fondo. I campi tra parentesi quadre vanno compilati.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Tra</w:t>
      </w:r>
    </w:p>
    <w:p>
      <w:pPr>
        <w:pStyle w:val="BodyText"/>
      </w:pPr>
      <w:r>
        <w:rPr>
          <w:bCs/>
          <w:b/>
        </w:rPr>
        <w:t xml:space="preserve">[Ragione sociale della casa editrice]</w:t>
      </w:r>
      <w:r>
        <w:t xml:space="preserve">, con sede in [indirizzo], P.IVA [•], in persona di [nome, carica], di seguito il</w:t>
      </w:r>
      <w:r>
        <w:t xml:space="preserve"> </w:t>
      </w:r>
      <w:r>
        <w:rPr>
          <w:bCs/>
          <w:b/>
        </w:rPr>
        <w:t xml:space="preserve">«Titolare»</w:t>
      </w:r>
      <w:r>
        <w:t xml:space="preserve">;</w:t>
      </w:r>
    </w:p>
    <w:p>
      <w:pPr>
        <w:pStyle w:val="BodyText"/>
      </w:pPr>
      <w:r>
        <w:rPr>
          <w:bCs/>
          <w:b/>
        </w:rPr>
        <w:t xml:space="preserve">e</w:t>
      </w:r>
    </w:p>
    <w:p>
      <w:pPr>
        <w:pStyle w:val="BodyText"/>
      </w:pPr>
      <w:r>
        <w:rPr>
          <w:bCs/>
          <w:b/>
        </w:rPr>
        <w:t xml:space="preserve">Smart Content S.r.l.s.</w:t>
      </w:r>
      <w:r>
        <w:t xml:space="preserve">, con sede in [indirizzo], P.IVA [•], titolare del marchio Kalamos AI, in persona di [nome, carica], di seguito il</w:t>
      </w:r>
      <w:r>
        <w:t xml:space="preserve"> </w:t>
      </w:r>
      <w:r>
        <w:rPr>
          <w:bCs/>
          <w:b/>
        </w:rPr>
        <w:t xml:space="preserve">«Responsabile»</w:t>
      </w:r>
      <w:r>
        <w:t xml:space="preserve">;</w:t>
      </w:r>
    </w:p>
    <w:p>
      <w:pPr>
        <w:pStyle w:val="BodyText"/>
      </w:pPr>
      <w:r>
        <w:t xml:space="preserve">insieme le</w:t>
      </w:r>
      <w:r>
        <w:t xml:space="preserve"> </w:t>
      </w:r>
      <w:r>
        <w:rPr>
          <w:bCs/>
          <w:b/>
        </w:rPr>
        <w:t xml:space="preserve">«Parti»</w:t>
      </w:r>
      <w:r>
        <w:t xml:space="preserve">.</w:t>
      </w:r>
    </w:p>
    <w:bookmarkStart w:id="20" w:name="premesse"/>
    <w:p>
      <w:pPr>
        <w:pStyle w:val="Heading2"/>
      </w:pPr>
      <w:r>
        <w:t xml:space="preserve">Premesse</w:t>
      </w:r>
    </w:p>
    <w:p>
      <w:pPr>
        <w:pStyle w:val="FirstParagraph"/>
      </w:pPr>
      <w:r>
        <w:t xml:space="preserve">A. Le Parti hanno concluso, o stanno per concludere, un accordo per un pilota del servizio Kalamos AI (il</w:t>
      </w:r>
      <w:r>
        <w:t xml:space="preserve"> </w:t>
      </w:r>
      <w:r>
        <w:rPr>
          <w:bCs/>
          <w:b/>
        </w:rPr>
        <w:t xml:space="preserve">«Contratto principale»</w:t>
      </w:r>
      <w:r>
        <w:t xml:space="preserve">). Con il pilota il Responsabile analizza manoscritti e proposte editoriali ricevuti dal Titolare e restituisce schede di lettura di supporto alla decisione editoriale (il</w:t>
      </w:r>
      <w:r>
        <w:t xml:space="preserve"> </w:t>
      </w:r>
      <w:r>
        <w:rPr>
          <w:bCs/>
          <w:b/>
        </w:rPr>
        <w:t xml:space="preserve">«Servizio»</w:t>
      </w:r>
      <w:r>
        <w:t xml:space="preserve">).</w:t>
      </w:r>
    </w:p>
    <w:p>
      <w:pPr>
        <w:pStyle w:val="BodyText"/>
      </w:pPr>
      <w:r>
        <w:t xml:space="preserve">B. Nell’erogare il Servizio il Responsabile tratta dati personali per conto del Titolare, che ne determina finalità e mezzi essenziali.</w:t>
      </w:r>
    </w:p>
    <w:p>
      <w:pPr>
        <w:pStyle w:val="BodyText"/>
      </w:pPr>
      <w:r>
        <w:t xml:space="preserve">C. Con il presente accordo (l’</w:t>
      </w:r>
      <w:r>
        <w:rPr>
          <w:bCs/>
          <w:b/>
        </w:rPr>
        <w:t xml:space="preserve">«Accordo»</w:t>
      </w:r>
      <w:r>
        <w:t xml:space="preserve">) le Parti disciplinano quel trattamento, come richiede l’art. 28 del Regolamento (UE) 2016/679 (</w:t>
      </w:r>
      <w:r>
        <w:rPr>
          <w:bCs/>
          <w:b/>
        </w:rPr>
        <w:t xml:space="preserve">«GDPR»</w:t>
      </w:r>
      <w:r>
        <w:t xml:space="preserve">).</w:t>
      </w:r>
    </w:p>
    <w:bookmarkEnd w:id="20"/>
    <w:bookmarkStart w:id="21" w:name="definizioni"/>
    <w:p>
      <w:pPr>
        <w:pStyle w:val="Heading2"/>
      </w:pPr>
      <w:r>
        <w:t xml:space="preserve">1. Definizioni</w:t>
      </w:r>
    </w:p>
    <w:p>
      <w:pPr>
        <w:pStyle w:val="FirstParagraph"/>
      </w:pPr>
      <w:r>
        <w:t xml:space="preserve">I termini usati con l’iniziale maiuscola e non definiti qui hanno il significato dell’art. 4 GDPR.</w:t>
      </w:r>
      <w:r>
        <w:t xml:space="preserve"> </w:t>
      </w:r>
      <w:r>
        <w:rPr>
          <w:bCs/>
          <w:b/>
        </w:rPr>
        <w:t xml:space="preserve">«Dati»</w:t>
      </w:r>
      <w:r>
        <w:t xml:space="preserve"> </w:t>
      </w:r>
      <w:r>
        <w:t xml:space="preserve">sono i dati personali che il Responsabile tratta per conto del Titolare nell’ambito del Servizio, descritti nell’Allegato A.</w:t>
      </w:r>
    </w:p>
    <w:bookmarkEnd w:id="21"/>
    <w:bookmarkStart w:id="22" w:name="oggetto-natura-finalità-e-durata"/>
    <w:p>
      <w:pPr>
        <w:pStyle w:val="Heading2"/>
      </w:pPr>
      <w:r>
        <w:t xml:space="preserve">2. Oggetto, natura, finalità e durata</w:t>
      </w:r>
    </w:p>
    <w:p>
      <w:pPr>
        <w:pStyle w:val="FirstParagraph"/>
      </w:pPr>
      <w:r>
        <w:t xml:space="preserve">2.1. Il Responsabile tratta i Dati al solo fine di erogare il Servizio al Titolare, secondo la descrizione dell’Allegato A.</w:t>
      </w:r>
    </w:p>
    <w:p>
      <w:pPr>
        <w:pStyle w:val="BodyText"/>
      </w:pPr>
      <w:r>
        <w:t xml:space="preserve">2.2. L’Accordo ha la stessa durata del Contratto principale. Gli obblighi dell’art. 14 (restituzione e cancellazione) e quelli di riservatezza sopravvivono fino al loro integrale adempimento.</w:t>
      </w:r>
    </w:p>
    <w:bookmarkEnd w:id="22"/>
    <w:bookmarkStart w:id="23" w:name="istruzioni-documentate"/>
    <w:p>
      <w:pPr>
        <w:pStyle w:val="Heading2"/>
      </w:pPr>
      <w:r>
        <w:t xml:space="preserve">3. Istruzioni documentate</w:t>
      </w:r>
    </w:p>
    <w:p>
      <w:pPr>
        <w:pStyle w:val="FirstParagraph"/>
      </w:pPr>
      <w:r>
        <w:t xml:space="preserve">3.1. Il Responsabile tratta i Dati soltanto su istruzione documentata del Titolare, anche per quanto riguarda il trasferimento di dati verso paesi terzi, salvo che lo richieda il diritto dell’Unione o dello Stato membro cui il Responsabile è soggetto. In tal caso informa il Titolare prima del trattamento, a meno che il diritto vieti tale informazione per rilevanti motivi di interesse pubblico (art. 28, par. 3, lett. a, GDPR).</w:t>
      </w:r>
    </w:p>
    <w:p>
      <w:pPr>
        <w:pStyle w:val="BodyText"/>
      </w:pPr>
      <w:r>
        <w:t xml:space="preserve">3.2. L’Accordo, il Contratto principale e l’Allegato A costituiscono le istruzioni iniziali. Ulteriori istruzioni sono date per iscritto, anche via email all’indirizzo indicato all’art. 16.</w:t>
      </w:r>
    </w:p>
    <w:p>
      <w:pPr>
        <w:pStyle w:val="BodyText"/>
      </w:pPr>
      <w:r>
        <w:t xml:space="preserve">3.3. Il Responsabile informa immediatamente il Titolare se ritiene che un’istruzione violi il GDPR o altre norme in materia di protezione dei dati.</w:t>
      </w:r>
    </w:p>
    <w:bookmarkEnd w:id="23"/>
    <w:bookmarkStart w:id="24" w:name="riservatezza-delle-persone-autorizzate"/>
    <w:p>
      <w:pPr>
        <w:pStyle w:val="Heading2"/>
      </w:pPr>
      <w:r>
        <w:t xml:space="preserve">4. Riservatezza delle persone autorizzate</w:t>
      </w:r>
    </w:p>
    <w:p>
      <w:pPr>
        <w:pStyle w:val="FirstParagraph"/>
      </w:pPr>
      <w:r>
        <w:t xml:space="preserve">Il Responsabile garantisce che le persone autorizzate a trattare i Dati si siano impegnate alla riservatezza o abbiano un adeguato obbligo legale di riservatezza, e che accedano ai Dati solo nella misura necessaria al Servizio.</w:t>
      </w:r>
    </w:p>
    <w:bookmarkEnd w:id="24"/>
    <w:bookmarkStart w:id="25" w:name="sicurezza"/>
    <w:p>
      <w:pPr>
        <w:pStyle w:val="Heading2"/>
      </w:pPr>
      <w:r>
        <w:t xml:space="preserve">5. Sicurezza</w:t>
      </w:r>
    </w:p>
    <w:p>
      <w:pPr>
        <w:pStyle w:val="FirstParagraph"/>
      </w:pPr>
      <w:r>
        <w:t xml:space="preserve">5.1. Il Responsabile adotta le misure tecniche e organizzative dell’art. 32 GDPR, descritte nell’Allegato C, adeguate al rischio, tenuto conto della natura dei Dati: manoscritti inediti che possono contenere dati personali di terzi.</w:t>
      </w:r>
    </w:p>
    <w:p>
      <w:pPr>
        <w:pStyle w:val="BodyText"/>
      </w:pPr>
      <w:r>
        <w:t xml:space="preserve">5.2. Il Servizio non viene attivato sui Dati del Titolare prima che tutte le misure dell’Allegato C indicate come «da attivare prima dell’avvio» siano in essere. Il Responsabile ne dà conferma scritta al Titolare.</w:t>
      </w:r>
    </w:p>
    <w:bookmarkEnd w:id="25"/>
    <w:bookmarkStart w:id="26" w:name="sub-responsabili"/>
    <w:p>
      <w:pPr>
        <w:pStyle w:val="Heading2"/>
      </w:pPr>
      <w:r>
        <w:t xml:space="preserve">6. Sub-responsabili</w:t>
      </w:r>
    </w:p>
    <w:p>
      <w:pPr>
        <w:pStyle w:val="FirstParagraph"/>
      </w:pPr>
      <w:r>
        <w:t xml:space="preserve">6.1. Il Titolare concede un’autorizzazione scritta generale al ricorso ai sub-responsabili elencati nell’Allegato B.</w:t>
      </w:r>
    </w:p>
    <w:p>
      <w:pPr>
        <w:pStyle w:val="BodyText"/>
      </w:pPr>
      <w:r>
        <w:t xml:space="preserve">6.2. Il Responsabile informa il Titolare per iscritto, con almeno 15 giorni di preavviso, di ogni aggiunta o sostituzione di sub-responsabili. Entro lo stesso termine il Titolare può opporsi per motivi ragionevoli legati alla protezione dei dati. Se l’opposizione non si risolve, il Titolare può recedere dal Contratto principale senza penali e con rimborso della parte di corrispettivo già versata per il periodo non goduto.</w:t>
      </w:r>
    </w:p>
    <w:p>
      <w:pPr>
        <w:pStyle w:val="BodyText"/>
      </w:pPr>
      <w:r>
        <w:t xml:space="preserve">6.3. Il Responsabile impone a ciascun sub-responsabile, per contratto, obblighi in materia di protezione dei dati sostanzialmente equivalenti a quelli dell’Accordo. Se il sub-responsabile non adempie, il Responsabile conserva nei confronti del Titolare l’intera responsabilità dell’adempimento (art. 28, par. 4, GDPR).</w:t>
      </w:r>
    </w:p>
    <w:bookmarkEnd w:id="26"/>
    <w:bookmarkStart w:id="27" w:name="Xdcbf85d5f2d7312850d70a38c93175d39e8c05f"/>
    <w:p>
      <w:pPr>
        <w:pStyle w:val="Heading2"/>
      </w:pPr>
      <w:r>
        <w:t xml:space="preserve">7. Trasferimenti fuori dallo Spazio economico europeo</w:t>
      </w:r>
    </w:p>
    <w:p>
      <w:pPr>
        <w:pStyle w:val="FirstParagraph"/>
      </w:pPr>
      <w:r>
        <w:t xml:space="preserve">I Dati sono trasferiti fuori dallo SEE solo verso i sub-responsabili dell’Allegato B e solo in presenza di una delle garanzie previste dal Capo V del GDPR (decisione di adeguatezza ai sensi dell’art. 45 o clausole contrattuali standard ai sensi dell’art. 46). Su richiesta, il Responsabile fornisce al Titolare copia o descrizione della garanzia applicata.</w:t>
      </w:r>
    </w:p>
    <w:bookmarkEnd w:id="27"/>
    <w:bookmarkStart w:id="28" w:name="divieti-specifici"/>
    <w:p>
      <w:pPr>
        <w:pStyle w:val="Heading2"/>
      </w:pPr>
      <w:r>
        <w:t xml:space="preserve">8. Divieti specifici</w:t>
      </w:r>
    </w:p>
    <w:p>
      <w:pPr>
        <w:pStyle w:val="FirstParagraph"/>
      </w:pPr>
      <w:r>
        <w:t xml:space="preserve">8.1. Il Responsabile non usa i Dati per finalità proprie. In particolare non usa i manoscritti, le schede né le decisioni editoriali del Titolare per addestrare o perfezionare modelli di intelligenza artificiale, propri o di terzi, e sceglie sub-responsabili i cui termini escludono tale uso.</w:t>
      </w:r>
    </w:p>
    <w:p>
      <w:pPr>
        <w:pStyle w:val="BodyText"/>
      </w:pPr>
      <w:r>
        <w:t xml:space="preserve">8.2. Il Responsabile non contatta gli autori, gli agenti o gli altri soggetti che hanno inviato i manoscritti.</w:t>
      </w:r>
    </w:p>
    <w:p>
      <w:pPr>
        <w:pStyle w:val="BodyText"/>
      </w:pPr>
      <w:r>
        <w:t xml:space="preserve">8.3.</w:t>
      </w:r>
      <w:r>
        <w:t xml:space="preserve"> </w:t>
      </w:r>
      <w:r>
        <w:rPr>
          <w:bCs/>
          <w:b/>
        </w:rPr>
        <w:t xml:space="preserve">Metriche aggregate.</w:t>
      </w:r>
      <w:r>
        <w:t xml:space="preserve"> </w:t>
      </w:r>
      <w:r>
        <w:t xml:space="preserve">Il Responsabile può elaborare, per conto del Titolare, statistiche sul Servizio: numero di schede, tempi, concordanza fra raccomandazione di Kalamos e decisione della redazione. Può usarle per finalità proprie, per esempio una relazione sui risultati del pilota, solo con autorizzazione scritta del Titolare e solo in forma aggregata e anonima, che non permetta di risalire a testi, autori, persone della redazione o singole decisioni.</w:t>
      </w:r>
    </w:p>
    <w:bookmarkEnd w:id="28"/>
    <w:bookmarkStart w:id="29" w:name="diritti-degli-interessati"/>
    <w:p>
      <w:pPr>
        <w:pStyle w:val="Heading2"/>
      </w:pPr>
      <w:r>
        <w:t xml:space="preserve">9. Diritti degli interessati</w:t>
      </w:r>
    </w:p>
    <w:p>
      <w:pPr>
        <w:pStyle w:val="FirstParagraph"/>
      </w:pPr>
      <w:r>
        <w:t xml:space="preserve">9.1. Tenuto conto della natura del trattamento, il Responsabile assiste il Titolare con misure tecniche e organizzative adeguate, nella misura possibile, per dare seguito alle richieste di esercizio dei diritti degli artt. 15-22 GDPR.</w:t>
      </w:r>
    </w:p>
    <w:p>
      <w:pPr>
        <w:pStyle w:val="BodyText"/>
      </w:pPr>
      <w:r>
        <w:t xml:space="preserve">9.2. Se riceve direttamente una richiesta, il Responsabile la inoltra al Titolare entro 5 giorni lavorativi e non vi risponde senza istruzioni.</w:t>
      </w:r>
    </w:p>
    <w:bookmarkEnd w:id="29"/>
    <w:bookmarkStart w:id="30" w:name="violazioni-dei-dati-personali"/>
    <w:p>
      <w:pPr>
        <w:pStyle w:val="Heading2"/>
      </w:pPr>
      <w:r>
        <w:t xml:space="preserve">10. Violazioni dei dati personali</w:t>
      </w:r>
    </w:p>
    <w:p>
      <w:pPr>
        <w:pStyle w:val="FirstParagraph"/>
      </w:pPr>
      <w:r>
        <w:t xml:space="preserve">10.1. Il Responsabile informa il Titolare senza ingiustificato ritardo, e comunque entro 48 ore da quando ne viene a conoscenza, di ogni violazione dei Dati (art. 33, par. 2, GDPR).</w:t>
      </w:r>
    </w:p>
    <w:p>
      <w:pPr>
        <w:pStyle w:val="BodyText"/>
      </w:pPr>
      <w:r>
        <w:t xml:space="preserve">10.2. La comunicazione contiene, nella misura in cui sono disponibili, le informazioni dell’art. 33, par. 3, GDPR. Quelle non ancora disponibili possono essere fornite in fasi successive.</w:t>
      </w:r>
    </w:p>
    <w:p>
      <w:pPr>
        <w:pStyle w:val="BodyText"/>
      </w:pPr>
      <w:r>
        <w:t xml:space="preserve">10.3. Il Responsabile assiste il Titolare negli adempimenti degli artt. 33 e 34 GDPR e adotta senza ritardo le misure ragionevoli per contenere la violazione.</w:t>
      </w:r>
    </w:p>
    <w:bookmarkEnd w:id="30"/>
    <w:bookmarkStart w:id="31" w:name="assistenza-ulteriore"/>
    <w:p>
      <w:pPr>
        <w:pStyle w:val="Heading2"/>
      </w:pPr>
      <w:r>
        <w:t xml:space="preserve">11. Assistenza ulteriore</w:t>
      </w:r>
    </w:p>
    <w:p>
      <w:pPr>
        <w:pStyle w:val="FirstParagraph"/>
      </w:pPr>
      <w:r>
        <w:t xml:space="preserve">Il Responsabile assiste il Titolare, tenuto conto della natura del trattamento e delle informazioni a sua disposizione, negli obblighi degli artt. 32-36 GDPR, incluse l’eventuale valutazione d’impatto e la consultazione preventiva.</w:t>
      </w:r>
    </w:p>
    <w:bookmarkEnd w:id="31"/>
    <w:bookmarkStart w:id="32" w:name="registro"/>
    <w:p>
      <w:pPr>
        <w:pStyle w:val="Heading2"/>
      </w:pPr>
      <w:r>
        <w:t xml:space="preserve">12. Registro</w:t>
      </w:r>
    </w:p>
    <w:p>
      <w:pPr>
        <w:pStyle w:val="FirstParagraph"/>
      </w:pPr>
      <w:r>
        <w:t xml:space="preserve">Il Responsabile tiene il registro delle categorie di attività di trattamento svolte per conto del Titolare (art. 30, par. 2, GDPR).</w:t>
      </w:r>
    </w:p>
    <w:bookmarkEnd w:id="32"/>
    <w:bookmarkStart w:id="33" w:name="informazioni-e-verifiche"/>
    <w:p>
      <w:pPr>
        <w:pStyle w:val="Heading2"/>
      </w:pPr>
      <w:r>
        <w:t xml:space="preserve">13. Informazioni e verifiche</w:t>
      </w:r>
    </w:p>
    <w:p>
      <w:pPr>
        <w:pStyle w:val="FirstParagraph"/>
      </w:pPr>
      <w:r>
        <w:t xml:space="preserve">13.1. Il Responsabile mette a disposizione del Titolare le informazioni necessarie a dimostrare il rispetto dell’art. 28 GDPR.</w:t>
      </w:r>
    </w:p>
    <w:p>
      <w:pPr>
        <w:pStyle w:val="BodyText"/>
      </w:pPr>
      <w:r>
        <w:t xml:space="preserve">13.2. Il Titolare, o un revisore da lui incaricato e vincolato alla riservatezza, può svolgere verifiche con preavviso scritto di almeno 30 giorni, non più di una volta per anno solare salvo violazione dei Dati o richiesta di un’autorità, in orario lavorativo e senza pregiudicare la sicurezza dei dati di altri clienti. I costi della verifica sono a carico del Titolare.</w:t>
      </w:r>
    </w:p>
    <w:bookmarkEnd w:id="33"/>
    <w:bookmarkStart w:id="34" w:name="restituzione-e-cancellazione"/>
    <w:p>
      <w:pPr>
        <w:pStyle w:val="Heading2"/>
      </w:pPr>
      <w:r>
        <w:t xml:space="preserve">14. Restituzione e cancellazione</w:t>
      </w:r>
    </w:p>
    <w:p>
      <w:pPr>
        <w:pStyle w:val="FirstParagraph"/>
      </w:pPr>
      <w:r>
        <w:t xml:space="preserve">14.1. Alla cessazione del Servizio, a scelta del Titolare comunicata per iscritto, il Responsabile restituisce i Dati in un formato di uso comune oppure li cancella, entro 30 giorni. Ne dà attestazione scritta.</w:t>
      </w:r>
    </w:p>
    <w:p>
      <w:pPr>
        <w:pStyle w:val="BodyText"/>
      </w:pPr>
      <w:r>
        <w:t xml:space="preserve">14.2. Restano salvi gli obblighi di conservazione imposti dal diritto dell’Unione o dello Stato membro. Le copie presenti nei sistemi dei sub-responsabili, come log tecnici e copie di sicurezza, sono cancellate secondo i loro termini, indicati nell’Allegato B.</w:t>
      </w:r>
    </w:p>
    <w:bookmarkEnd w:id="34"/>
    <w:bookmarkStart w:id="35" w:name="responsabilità"/>
    <w:p>
      <w:pPr>
        <w:pStyle w:val="Heading2"/>
      </w:pPr>
      <w:r>
        <w:t xml:space="preserve">15. Responsabilità</w:t>
      </w:r>
    </w:p>
    <w:p>
      <w:pPr>
        <w:pStyle w:val="FirstParagraph"/>
      </w:pPr>
      <w:r>
        <w:t xml:space="preserve">Ciascuna Parte risponde nei limiti dell’art. 82 GDPR. Le limitazioni di responsabilità del Contratto principale si applicano anche all’Accordo, salvo il caso di dolo o colpa grave (art. 1229 c.c.) e salvo quanto inderogabilmente previsto dal GDPR.</w:t>
      </w:r>
    </w:p>
    <w:bookmarkEnd w:id="35"/>
    <w:bookmarkStart w:id="36" w:name="disposizioni-finali"/>
    <w:p>
      <w:pPr>
        <w:pStyle w:val="Heading2"/>
      </w:pPr>
      <w:r>
        <w:t xml:space="preserve">16. Disposizioni finali</w:t>
      </w:r>
    </w:p>
    <w:p>
      <w:pPr>
        <w:pStyle w:val="FirstParagraph"/>
      </w:pPr>
      <w:r>
        <w:t xml:space="preserve">16.1. In caso di contrasto fra l’Accordo e il Contratto principale sulle materie della protezione dei dati, prevale l’Accordo.</w:t>
      </w:r>
    </w:p>
    <w:p>
      <w:pPr>
        <w:pStyle w:val="BodyText"/>
      </w:pPr>
      <w:r>
        <w:t xml:space="preserve">16.2. Comunicazioni: per il Titolare, [email/PEC]; per il Responsabile, [PEC], con copia a info@kalamos.studio.</w:t>
      </w:r>
    </w:p>
    <w:p>
      <w:pPr>
        <w:pStyle w:val="BodyText"/>
      </w:pPr>
      <w:r>
        <w:t xml:space="preserve">16.3. L’Accordo è regolato dalla legge italiana. Per le controversie è competente in via esclusiva il Foro di [•].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[Luogo, data]</w:t>
      </w:r>
    </w:p>
    <w:p>
      <w:pPr>
        <w:pStyle w:val="BodyText"/>
      </w:pPr>
      <w:r>
        <w:t xml:space="preserve">Il Titolare ______________________ Il Responsabile 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allegato-a-descrizione-del-trattamento"/>
    <w:p>
      <w:pPr>
        <w:pStyle w:val="Heading2"/>
      </w:pPr>
      <w:r>
        <w:t xml:space="preserve">Allegato A — Descrizione del trattamento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 di interessati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 e proponenti dei manoscritti; persone reali citate o descritte nei testi; agenti, scout e altri mittenti delle proposte; dipendenti e collaboratori del Titolare che usano il 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Categorie di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identificativi e di contatto presenti nei testi e nelle lettere di accompagnamento; contenuto dei manoscritti, che può contenere dati personali di terzi e, in via incidentale, dati delle categorie particolari (art. 9) o relativi a condanne penali (art. 10); schede di lettura; decisioni editoriali e relative motivazioni; dati di accesso degli utenti del Titolare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 delle operazioni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Ricezione dei testi; conservazione per la durata del pilota; invio al fornitore del modello linguistico per l’analisi; generazione e conservazione delle schede; registrazione delle decisioni; elaborazione delle metriche dell’art. 8.3; restituzione o cancellazione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Erogazione del Servizio al Titolare: supporto alla valutazione editoriale dei manoscritti ricevuti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Decisioni automatizzate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Nessuna. Le schede sono un supporto; ogni decisione sul manoscritto è presa da una persona della redazione del Titolare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durata del pilota indicata nel Contratto principale, più il termine dell’art.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Dati delle categorie particolari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Servizio non è progettato per trattarli. Il Titolare valuta, prima dell’invio, se escludere testi che ne contengano in misura rilevante, e ne dà istruzione scritta</w:t>
            </w:r>
          </w:p>
        </w:tc>
      </w:tr>
    </w:tbl>
    <w:bookmarkEnd w:id="37"/>
    <w:bookmarkStart w:id="38" w:name="allegato-b-sub-responsabili-autorizzati"/>
    <w:p>
      <w:pPr>
        <w:pStyle w:val="Heading2"/>
      </w:pPr>
      <w:r>
        <w:t xml:space="preserve">Allegato B — Sub-responsabili autorizzati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Sub-responsabile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Garanzia per il trasferimento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Conservazione dei 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ed esecuzione dell’applicazione, log tecnici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 Uniti [verificare la regione delle funzioni: possibile 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[Verificare: DPF o clausole contrattuali standard nel DPA di Vercel]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[Secondo il piano: verificare la durata dei log]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dei testi tramite l’API del modello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 Uniti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[Verificare: DPF o clausole contrattuali standard nel DPA di Anthropic]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[Secondo i termini commerciali Anthropic: verificare il periodo; valutare l’accordo zero-data-retention]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[Fornitore del database, da scegliere con la fase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Conservazione di testi, schede e decisioni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[Regione UE da preferire]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[•]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[Fino alla cancellazione ex art. 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il pilota prevede notifiche email: invio di messaggi di 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 Uniti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[Verificare]</w:t>
            </w:r>
          </w:p>
        </w:tc>
      </w:tr>
    </w:tbl>
    <w:bookmarkEnd w:id="38"/>
    <w:bookmarkStart w:id="39" w:name="X6678b2f26c0830e9a052349cf8c36cbdf03d17e"/>
    <w:p>
      <w:pPr>
        <w:pStyle w:val="Heading2"/>
      </w:pPr>
      <w:r>
        <w:t xml:space="preserve">Allegato C — Misure tecniche e organizzative</w:t>
      </w:r>
    </w:p>
    <w:p>
      <w:pPr>
        <w:pStyle w:val="FirstParagraph"/>
      </w:pPr>
      <w:r>
        <w:rPr>
          <w:bCs/>
          <w:b/>
        </w:rPr>
        <w:t xml:space="preserve">In essere alla data di questa bozza</w:t>
      </w:r>
    </w:p>
    <w:p>
      <w:pPr>
        <w:numPr>
          <w:ilvl w:val="0"/>
          <w:numId w:val="1001"/>
        </w:numPr>
        <w:pStyle w:val="Compact"/>
      </w:pPr>
      <w:r>
        <w:t xml:space="preserve">Cifratura in transito (HTTPS/TLS) fra browser, applicazione e fornitore del modello.</w:t>
      </w:r>
    </w:p>
    <w:p>
      <w:pPr>
        <w:numPr>
          <w:ilvl w:val="0"/>
          <w:numId w:val="1001"/>
        </w:numPr>
        <w:pStyle w:val="Compact"/>
      </w:pPr>
      <w:r>
        <w:t xml:space="preserve">Chiavi e segreti conservati come variabili d’ambiente, mai nel codice.</w:t>
      </w:r>
    </w:p>
    <w:p>
      <w:pPr>
        <w:numPr>
          <w:ilvl w:val="0"/>
          <w:numId w:val="1001"/>
        </w:numPr>
        <w:pStyle w:val="Compact"/>
      </w:pPr>
      <w:r>
        <w:t xml:space="preserve">Nella versione attuale, l’applicazione non salva i testi sul server: restano nel browser di chi li carica e passano al fornitore del modello solo per l’analisi.</w:t>
      </w:r>
    </w:p>
    <w:p>
      <w:pPr>
        <w:numPr>
          <w:ilvl w:val="0"/>
          <w:numId w:val="1001"/>
        </w:numPr>
        <w:pStyle w:val="Compact"/>
      </w:pPr>
      <w:r>
        <w:t xml:space="preserve">Accesso al workspace con sessione firmata (HMAC), cookie httpOnly, controllo eseguito prima di ogni pagina riservata.</w:t>
      </w:r>
    </w:p>
    <w:p>
      <w:pPr>
        <w:numPr>
          <w:ilvl w:val="0"/>
          <w:numId w:val="1001"/>
        </w:numPr>
        <w:pStyle w:val="Compact"/>
      </w:pPr>
      <w:r>
        <w:t xml:space="preserve">Limiti di frequenza sulle funzioni di analisi, di domanda e di accesso; tetti di dimensione e di spesa per singola analisi.</w:t>
      </w:r>
    </w:p>
    <w:p>
      <w:pPr>
        <w:pStyle w:val="FirstParagraph"/>
      </w:pPr>
      <w:r>
        <w:rPr>
          <w:bCs/>
          <w:b/>
        </w:rPr>
        <w:t xml:space="preserve">Da attivare prima dell’avvio del pilota sui Dati del Titolare</w:t>
      </w:r>
    </w:p>
    <w:p>
      <w:pPr>
        <w:numPr>
          <w:ilvl w:val="0"/>
          <w:numId w:val="1002"/>
        </w:numPr>
        <w:pStyle w:val="Compact"/>
      </w:pPr>
      <w:r>
        <w:t xml:space="preserve">Account personali per ogni utente del Titolare; nessun accesso condiviso.</w:t>
      </w:r>
    </w:p>
    <w:p>
      <w:pPr>
        <w:numPr>
          <w:ilvl w:val="0"/>
          <w:numId w:val="1002"/>
        </w:numPr>
        <w:pStyle w:val="Compact"/>
      </w:pPr>
      <w:r>
        <w:t xml:space="preserve">Isolamento dei dati per casa editrice: un utente vede solo i dati della propria.</w:t>
      </w:r>
    </w:p>
    <w:p>
      <w:pPr>
        <w:numPr>
          <w:ilvl w:val="0"/>
          <w:numId w:val="1002"/>
        </w:numPr>
        <w:pStyle w:val="Compact"/>
      </w:pPr>
      <w:r>
        <w:t xml:space="preserve">Database con cifratura a riposo, in regione UE se disponibile, con copie di sicurezza e un periodo di conservazione definito.</w:t>
      </w:r>
    </w:p>
    <w:p>
      <w:pPr>
        <w:numPr>
          <w:ilvl w:val="0"/>
          <w:numId w:val="1002"/>
        </w:numPr>
        <w:pStyle w:val="Compact"/>
      </w:pPr>
      <w:r>
        <w:t xml:space="preserve">Autenticazione a due fattori sugli account amministrativi del Responsabile (hosting, codice, fornitore del modello, database).</w:t>
      </w:r>
    </w:p>
    <w:p>
      <w:pPr>
        <w:numPr>
          <w:ilvl w:val="0"/>
          <w:numId w:val="1002"/>
        </w:numPr>
        <w:pStyle w:val="Compact"/>
      </w:pPr>
      <w:r>
        <w:t xml:space="preserve">Registro degli accessi e delle operazioni sui Dati.</w:t>
      </w:r>
    </w:p>
    <w:p>
      <w:pPr>
        <w:numPr>
          <w:ilvl w:val="0"/>
          <w:numId w:val="1002"/>
        </w:numPr>
        <w:pStyle w:val="Compact"/>
      </w:pPr>
      <w:r>
        <w:t xml:space="preserve">Procedura scritta per le violazioni dei dati, con i tempi dell’art. 10.</w:t>
      </w:r>
    </w:p>
    <w:p>
      <w:pPr>
        <w:numPr>
          <w:ilvl w:val="0"/>
          <w:numId w:val="1002"/>
        </w:numPr>
        <w:pStyle w:val="Compact"/>
      </w:pPr>
      <w:r>
        <w:t xml:space="preserve">Procedura di restituzione e cancellazione, con attestazione.</w:t>
      </w:r>
    </w:p>
    <w:p>
      <w:r>
        <w:pict>
          <v:rect style="width:0;height:1.5pt" o:hralign="center" o:hrstd="t" o:hr="t"/>
        </w:pict>
      </w:r>
    </w:p>
    <w:bookmarkEnd w:id="39"/>
    <w:bookmarkStart w:id="40" w:name="Xb00598e88dbfaf4a99d75377c84c739521f226c"/>
    <w:p>
      <w:pPr>
        <w:pStyle w:val="Heading2"/>
      </w:pPr>
      <w:r>
        <w:t xml:space="preserve">Per l’avvocato: cosa validare prima della firma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Ruoli.</w:t>
      </w:r>
      <w:r>
        <w:t xml:space="preserve"> </w:t>
      </w:r>
      <w:r>
        <w:t xml:space="preserve">La casa editrice titolare e Kalamos responsabile regge finché Kalamos non usa i dati per sé. L’art. 8.3 (metriche aggregate, solo con autorizzazione e in forma anonima) va verificato perché non trasformi Kalamos in titolare autonomo per quella finalità.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Dati di terzi nei manoscritti.</w:t>
      </w:r>
      <w:r>
        <w:t xml:space="preserve"> </w:t>
      </w:r>
      <w:r>
        <w:t xml:space="preserve">Autori e persone citate non hanno ricevuto un’informativa da Kalamos. È un obbligo del Titolare (art. 14 GDPR), ma conviene chiarire nel Contratto principale che il Titolare ha titolo a trasmettere i testi.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Trasferimenti negli Stati Uniti.</w:t>
      </w:r>
      <w:r>
        <w:t xml:space="preserve"> </w:t>
      </w:r>
      <w:r>
        <w:t xml:space="preserve">Va verificato lo stato vigente del Data Privacy Framework e quale garanzia offre effettivamente ciascun fornitore. Da qui non è stato possibile consultare i loro documenti.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Allegato C.</w:t>
      </w:r>
      <w:r>
        <w:t xml:space="preserve"> </w:t>
      </w:r>
      <w:r>
        <w:t xml:space="preserve">Le misure «da attivare» non esistono ancora nel prodotto: l’art. 5.2 impedisce di avviare il pilota prima. Non firmare un Allegato C che descriva come attive misure che non lo sono.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Coordinamento con il Contratto principale</w:t>
      </w:r>
      <w:r>
        <w:t xml:space="preserve">, che ancora non esiste: limitazione di responsabilità, durata, recesso.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2026-10-16T16:06:07Z</dcterms:created>
  <dcterms:modified xsi:type="dcterms:W3CDTF">2026-10-16T16:06:07Z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