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F4E79"/>
          <w:sz w:val="44"/>
        </w:rPr>
        <w:t>MetaboFlow v1.0</w:t>
      </w:r>
    </w:p>
    <w:p>
      <w:pPr>
        <w:jc w:val="center"/>
      </w:pPr>
      <w:r>
        <w:rPr>
          <w:b/>
          <w:i w:val="0"/>
          <w:color w:val="2E75B6"/>
          <w:sz w:val="32"/>
        </w:rPr>
        <w:t>非靶向代谢组学三工作流集成分析系统</w:t>
      </w:r>
    </w:p>
    <w:p>
      <w:pPr>
        <w:jc w:val="center"/>
      </w:pPr>
      <w:r>
        <w:rPr>
          <w:b/>
          <w:i w:val="0"/>
          <w:color w:val="666666"/>
          <w:sz w:val="28"/>
        </w:rPr>
        <w:t>用户使用手册</w:t>
      </w:r>
    </w:p>
    <w:p>
      <w:r>
        <w:rPr>
          <w:b w:val="0"/>
          <w:i w:val="0"/>
        </w:rPr>
      </w:r>
    </w:p>
    <w:p>
      <w:pPr>
        <w:pStyle w:val="Heading1"/>
      </w:pPr>
      <w:r>
        <w:t>一、系统简介</w:t>
      </w:r>
    </w:p>
    <w:p>
      <w:r>
        <w:rPr>
          <w:b w:val="0"/>
          <w:i w:val="0"/>
        </w:rPr>
        <w:t>MetaboFlow是一套基于R语言的非靶向代谢组学全流程分析系统，集成了从原始数据处理到通路富集分析的完整工作流。核心特点是"一次输入、三线并行"——输入原始mzXML质谱数据后，自动完成特征提取、缺失值填充、归一化、差异分析、代谢物注释，并同时运行三个独立的通路分析工作流进行交叉验证。所有图表按Nature论文投稿标准渲染（NPG配色、Arial字体、PDF矢量+TIFF 300DPI双格式输出）。</w:t>
      </w:r>
    </w:p>
    <w:p>
      <w:pPr>
        <w:pStyle w:val="Heading2"/>
      </w:pPr>
      <w:r>
        <w:t>1.1 三个工作流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工作流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引擎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数据库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输入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特色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WF1: SMPDB通路富集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tidymass enrich_hmdb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SMPDB/HMDB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HMDB 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与tidymass生态无缝衔接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WF2: MSEA代谢物集富集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MetaboAnalystR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SMPDB代谢物集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HMDB 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超几何检验，定期更新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WF3: KEGG拓扑通路分析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MetaboAnalystR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KEGG物种库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KEGG 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提供Pathway Impact拓扑评分</w:t>
            </w:r>
          </w:p>
        </w:tc>
      </w:tr>
    </w:tbl>
    <w:p>
      <w:r>
        <w:rPr>
          <w:b w:val="0"/>
          <w:i w:val="0"/>
        </w:rPr>
      </w:r>
    </w:p>
    <w:p>
      <w:pPr>
        <w:pStyle w:val="Heading1"/>
      </w:pPr>
      <w:r>
        <w:t>二、系统要求</w:t>
      </w:r>
    </w:p>
    <w:p>
      <w:pPr>
        <w:pStyle w:val="ListBullet"/>
        <w:ind w:left="720"/>
      </w:pPr>
      <w:r>
        <w:t>R &gt;= 4.2.0</w:t>
      </w:r>
    </w:p>
    <w:p>
      <w:pPr>
        <w:pStyle w:val="ListBullet"/>
        <w:ind w:left="720"/>
      </w:pPr>
      <w:r>
        <w:t>操作系统：Windows 10/11, macOS, Linux</w:t>
      </w:r>
    </w:p>
    <w:p>
      <w:pPr>
        <w:pStyle w:val="ListBullet"/>
        <w:ind w:left="720"/>
      </w:pPr>
      <w:r>
        <w:t>内存：&gt;= 8 GB（大数据集需16 GB）</w:t>
      </w:r>
    </w:p>
    <w:p>
      <w:pPr>
        <w:pStyle w:val="ListBullet"/>
        <w:ind w:left="720"/>
      </w:pPr>
      <w:r>
        <w:t>磁盘：至少2 GB可用空间</w:t>
      </w:r>
    </w:p>
    <w:p>
      <w:pPr>
        <w:pStyle w:val="ListBullet"/>
        <w:ind w:left="720"/>
      </w:pPr>
      <w:r>
        <w:t>网络：首次运行需联网安装R包和KEGG库</w:t>
      </w:r>
    </w:p>
    <w:p>
      <w:pPr>
        <w:pStyle w:val="Heading1"/>
      </w:pPr>
      <w:r>
        <w:t>三、输入数据要求</w:t>
      </w:r>
    </w:p>
    <w:p>
      <w:pPr>
        <w:pStyle w:val="Heading2"/>
      </w:pPr>
      <w:r>
        <w:t>3.1 原始数据</w:t>
      </w:r>
    </w:p>
    <w:p>
      <w:r>
        <w:rPr>
          <w:b w:val="0"/>
          <w:i w:val="0"/>
        </w:rPr>
        <w:t>将所有样本的.mzXML文件放入同一文件夹。命名规则：[组名][编号].mzXML。例如：control1.mzXML, MethiocarbA1.mzXML。系统通过去除文件名末尾数字自动识别分组。</w:t>
      </w:r>
    </w:p>
    <w:p>
      <w:r>
        <w:rPr>
          <w:b w:val="0"/>
          <w:i/>
        </w:rPr>
        <w:t>注意：分组名中不能包含数字，否则分组识别出错。例如不要命名为"Dose10mg1.mzXML"。</w:t>
      </w:r>
    </w:p>
    <w:p>
      <w:pPr>
        <w:pStyle w:val="Heading2"/>
      </w:pPr>
      <w:r>
        <w:t>3.2 数据库文件</w:t>
      </w:r>
    </w:p>
    <w:p>
      <w:r>
        <w:rPr>
          <w:b w:val="0"/>
          <w:i w:val="0"/>
        </w:rPr>
        <w:t>在DB_DIR路径下放置以下.rda文件：inhouse_Metabolite.database（自建标准品库，含RT）、hmdb_ms2_merged.rda、massbank_ms2_merged.rda、mona_ms2_merged.rda、orbitrap_database0.0.3.rda。</w:t>
      </w:r>
    </w:p>
    <w:p>
      <w:pPr>
        <w:pStyle w:val="Heading1"/>
      </w:pPr>
      <w:r>
        <w:t>四、可调参数详解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默认值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调整建议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WORK_DIR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"C:\\..."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数据文件夹路径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改为实际路径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POLARITY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"positive"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质谱极性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positive或negative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LOGFC_CUTOFF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0.176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log10 FC阈值(0.176=1.5x)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0.176(1.5x)或0.301(2x)。降低→更多差异代谢物但噪声增加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ALPHA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FDR校正p值阈值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差异代谢物&lt;10个可放宽至0.1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ORGANISM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"dre"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物种代码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dre=斑马鱼, hsa=人, mmu=小鼠, rno=大鼠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MS1_PPM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MS1质量容差(ppm)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Orbitrap: 5-15, QTOF: 15-30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PEAK_WIDTH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c(5,30)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峰宽范围(秒)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窄峰c(3,15), 宽峰c(10,60)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SN_THRESH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信噪比阈值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提高→减少假峰，可能丢低丰度信号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NOISE_LEVEL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噪声水平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根据仪器基线调整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MIN_FRACTION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最小检出率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0.5=至少50%样本检出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N_THREADS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并行线程数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设为CPU核心数×80%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INTENSITY_FLOOR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最低强度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低于此值的feature被过滤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NORM_METHOD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"median"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归一化方法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median, mean, pqn</w:t>
            </w:r>
          </w:p>
        </w:tc>
      </w:tr>
    </w:tbl>
    <w:p>
      <w:r>
        <w:rPr>
          <w:b w:val="0"/>
          <w:i w:val="0"/>
        </w:rPr>
      </w:r>
    </w:p>
    <w:p>
      <w:pPr>
        <w:pStyle w:val="Heading1"/>
      </w:pPr>
      <w:r>
        <w:t>五、参数调整对结果的影响</w:t>
      </w:r>
    </w:p>
    <w:p>
      <w:pPr>
        <w:pStyle w:val="Heading2"/>
      </w:pPr>
      <w:r>
        <w:t>5.1 LOGFC_CUTOFF（最关键）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logFC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实际FC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0.079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1.2x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过于宽松，含技术噪声，假阳性率高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0.176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1.5x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推荐默认值，平衡灵敏度和特异性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0.301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2.0x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严格，适合强效应实验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0.477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3.0x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非常严格，仅保留剧烈变化</w:t>
            </w:r>
          </w:p>
        </w:tc>
      </w:tr>
    </w:tbl>
    <w:p>
      <w:r>
        <w:rPr>
          <w:b w:val="0"/>
          <w:i w:val="0"/>
        </w:rPr>
      </w:r>
    </w:p>
    <w:p>
      <w:pPr>
        <w:pStyle w:val="Heading2"/>
      </w:pPr>
      <w:r>
        <w:t>5.2 ALPHA</w:t>
      </w:r>
    </w:p>
    <w:p>
      <w:r>
        <w:rPr>
          <w:b w:val="0"/>
          <w:i w:val="0"/>
        </w:rPr>
        <w:t>使用FDR校正后adj.P.Val。差异代谢物&lt;10个→放宽至0.1；&gt;500个→收紧至0.01。</w:t>
      </w:r>
    </w:p>
    <w:p>
      <w:pPr>
        <w:pStyle w:val="Heading2"/>
      </w:pPr>
      <w:r>
        <w:t>5.3 ORGANISM</w:t>
      </w:r>
    </w:p>
    <w:p>
      <w:r>
        <w:rPr>
          <w:b w:val="0"/>
          <w:i w:val="0"/>
        </w:rPr>
        <w:t>仅影响WF3 KEGG通路分析。常用代码：hsa(人), mmu(小鼠), rno(大鼠), dre(斑马鱼), dme(果蝇), cel(线虫)。</w:t>
      </w:r>
    </w:p>
    <w:p>
      <w:pPr>
        <w:pStyle w:val="Heading1"/>
      </w:pPr>
      <w:r>
        <w:t>六、输出文件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目录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根目录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PCA_scores.pdf/tiff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PCA得分图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差异代谢峰/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*差异峰.csv + 火山图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差异代谢峰列表和Nature级别火山图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差异代谢物/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smpdb_*.xlsx/pdf/tiff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WF1: SMPDB通路富集结果和气泡图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差异代谢物/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msea_*.xlsx/pdf/tiff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WF2: MSEA富集结果和气泡图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差异代谢物/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kegg_*.xlsx + metabolome_view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WF3: KEGG通路+Impact散点图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差异代谢物/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heatmap_*.pdf/tiff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差异代谢物热图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Boxplot/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*.pdf/tiff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单代谢物箱线图</w:t>
            </w:r>
          </w:p>
        </w:tc>
      </w:tr>
    </w:tbl>
    <w:p>
      <w:r>
        <w:rPr>
          <w:b w:val="0"/>
          <w:i w:val="0"/>
        </w:rPr>
      </w:r>
    </w:p>
    <w:p>
      <w:pPr>
        <w:pStyle w:val="Heading1"/>
      </w:pPr>
      <w:r>
        <w:t>七、图表规格</w:t>
      </w:r>
    </w:p>
    <w:p>
      <w:pPr>
        <w:pStyle w:val="ListBullet"/>
        <w:ind w:left="720"/>
      </w:pPr>
      <w:r>
        <w:rPr>
          <w:b/>
        </w:rPr>
        <w:t>字体：</w:t>
      </w:r>
      <w:r>
        <w:t>字体：Arial, 7-9pt</w:t>
      </w:r>
    </w:p>
    <w:p>
      <w:pPr>
        <w:pStyle w:val="ListBullet"/>
        <w:ind w:left="720"/>
      </w:pPr>
      <w:r>
        <w:rPr>
          <w:b/>
        </w:rPr>
        <w:t>格式：</w:t>
      </w:r>
      <w:r>
        <w:t>PDF矢量+TIFF 300DPI双格式输出</w:t>
      </w:r>
    </w:p>
    <w:p>
      <w:pPr>
        <w:pStyle w:val="ListBullet"/>
        <w:ind w:left="720"/>
      </w:pPr>
      <w:r>
        <w:rPr>
          <w:b/>
        </w:rPr>
        <w:t>配色：</w:t>
      </w:r>
      <w:r>
        <w:t>NPG配色（Nature Publishing Group标准）</w:t>
      </w:r>
    </w:p>
    <w:p>
      <w:pPr>
        <w:pStyle w:val="ListBullet"/>
        <w:ind w:left="720"/>
      </w:pPr>
      <w:r>
        <w:rPr>
          <w:b/>
        </w:rPr>
        <w:t>火山图：</w:t>
      </w:r>
      <w:r>
        <w:t>火山图：蓝(#3C5488)下调, 灰不显著, 红(#E64B35)上调</w:t>
      </w:r>
    </w:p>
    <w:p>
      <w:pPr>
        <w:pStyle w:val="ListBullet"/>
        <w:ind w:left="720"/>
      </w:pPr>
      <w:r>
        <w:rPr>
          <w:b/>
        </w:rPr>
        <w:t>热图：</w:t>
      </w:r>
      <w:r>
        <w:t>热图：深蓝→白→深红</w:t>
      </w:r>
    </w:p>
    <w:p>
      <w:pPr>
        <w:pStyle w:val="ListBullet"/>
        <w:ind w:left="720"/>
      </w:pPr>
      <w:r>
        <w:rPr>
          <w:b/>
        </w:rPr>
        <w:t>气泡图：</w:t>
      </w:r>
      <w:r>
        <w:t>气泡图：黄→绿→蓝→紫(Viridis)</w:t>
      </w:r>
    </w:p>
    <w:p>
      <w:pPr>
        <w:pStyle w:val="ListBullet"/>
        <w:ind w:left="720"/>
      </w:pPr>
      <w:r>
        <w:rPr>
          <w:b/>
        </w:rPr>
        <w:t>尺寸：</w:t>
      </w:r>
      <w:r>
        <w:t>单栏5×5in, 双栏7×5in</w:t>
      </w:r>
    </w:p>
    <w:p>
      <w:pPr>
        <w:pStyle w:val="Heading1"/>
      </w:pPr>
      <w:r>
        <w:t>八、常见问题</w:t>
      </w:r>
    </w:p>
    <w:p>
      <w:pPr>
        <w:pStyle w:val="Heading2"/>
      </w:pPr>
      <w:r>
        <w:t>Q1: MetaboAnalystR安装失败？</w:t>
      </w:r>
    </w:p>
    <w:p>
      <w:r>
        <w:rPr>
          <w:b w:val="0"/>
          <w:i w:val="0"/>
        </w:rPr>
        <w:t>先手动安装报错的Bioconductor包，再重装MetaboAnalystR。安装失败不影响WF1正常运行。</w:t>
      </w:r>
    </w:p>
    <w:p>
      <w:pPr>
        <w:pStyle w:val="Heading2"/>
      </w:pPr>
      <w:r>
        <w:t>Q2: 差异代谢物数量为0？</w:t>
      </w:r>
    </w:p>
    <w:p>
      <w:r>
        <w:rPr>
          <w:b w:val="0"/>
          <w:i w:val="0"/>
        </w:rPr>
        <w:t>逐步放宽：(1) LOGFC_CUTOFF降到0.079；(2) ALPHA放宽到0.1；(3) 检查PCA是否分组分离。</w:t>
      </w:r>
    </w:p>
    <w:p>
      <w:pPr>
        <w:pStyle w:val="Heading2"/>
      </w:pPr>
      <w:r>
        <w:t>Q3: 通路分析adj.P.Val全&gt;0.05？</w:t>
      </w:r>
    </w:p>
    <w:p>
      <w:r>
        <w:rPr>
          <w:b w:val="0"/>
          <w:i w:val="0"/>
        </w:rPr>
        <w:t>差异代谢物&lt;20个时常见。可用raw p_value初步探索（文章中标注），对比三个工作流的一致性，增加样本量是根本方案。</w:t>
      </w:r>
    </w:p>
    <w:p>
      <w:pPr>
        <w:pStyle w:val="Heading2"/>
      </w:pPr>
      <w:r>
        <w:t>Q4: 三个工作流结果不一致？</w:t>
      </w:r>
    </w:p>
    <w:p>
      <w:r>
        <w:rPr>
          <w:b w:val="0"/>
          <w:i w:val="0"/>
        </w:rPr>
        <w:t>正常。三个工作流都显著的通路最可信；仅一个显著需谨慎；WF3的高Impact+低p值通路最值得关注。</w:t>
      </w:r>
    </w:p>
    <w:p>
      <w:pPr>
        <w:pStyle w:val="Heading1"/>
      </w:pPr>
      <w:r>
        <w:t>九、引用</w:t>
      </w:r>
    </w:p>
    <w:p>
      <w:pPr>
        <w:pStyle w:val="ListBullet"/>
        <w:ind w:left="720"/>
      </w:pPr>
      <w:r>
        <w:t>tidymass: Shen X, et al. Nature Communications, 2022.</w:t>
      </w:r>
    </w:p>
    <w:p>
      <w:pPr>
        <w:pStyle w:val="ListBullet"/>
        <w:ind w:left="720"/>
      </w:pPr>
      <w:r>
        <w:t>MetaboAnalystR: Pang Z, et al. Metabolites, 2020.</w:t>
      </w:r>
    </w:p>
    <w:p>
      <w:pPr>
        <w:pStyle w:val="ListBullet"/>
        <w:ind w:left="720"/>
      </w:pPr>
      <w:r>
        <w:t>limma: Ritchie ME, et al. Nucleic Acids Research, 2015.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2E75B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