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44"/>
        </w:rPr>
        <w:t>MetaboFlow v1.0</w:t>
      </w:r>
    </w:p>
    <w:p>
      <w:pPr>
        <w:jc w:val="center"/>
      </w:pPr>
      <w:r>
        <w:rPr>
          <w:b/>
          <w:i w:val="0"/>
          <w:color w:val="2E75B6"/>
          <w:sz w:val="28"/>
        </w:rPr>
        <w:t>Untargeted Metabolomics Tri-Workflow Pipeline</w:t>
      </w:r>
    </w:p>
    <w:p>
      <w:pPr>
        <w:jc w:val="center"/>
      </w:pPr>
      <w:r>
        <w:rPr>
          <w:b/>
          <w:i w:val="0"/>
          <w:color w:val="666666"/>
          <w:sz w:val="28"/>
        </w:rPr>
        <w:t>User Manual</w:t>
      </w:r>
    </w:p>
    <w:p>
      <w:r>
        <w:rPr>
          <w:b w:val="0"/>
          <w:i w:val="0"/>
        </w:rPr>
      </w:r>
    </w:p>
    <w:p>
      <w:pPr>
        <w:pStyle w:val="Heading1"/>
      </w:pPr>
      <w:r>
        <w:t>1. Overview</w:t>
      </w:r>
    </w:p>
    <w:p>
      <w:r>
        <w:rPr>
          <w:b w:val="0"/>
          <w:i w:val="0"/>
        </w:rPr>
        <w:t>MetaboFlow is an R-based end-to-end untargeted metabolomics pipeline integrating feature extraction, normalization, differential analysis, annotation, and pathway enrichment. Key feature: "one input, three parallel workflows" — raw mzXML files are processed through three independent pathway analysis engines for cross-validation. All figures are rendered to Nature publication standards (NPG palette, Arial font, dual PDF vector + TIFF 300 DPI output).</w:t>
      </w:r>
    </w:p>
    <w:p>
      <w:pPr>
        <w:pStyle w:val="Heading2"/>
      </w:pPr>
      <w:r>
        <w:t>1.1 Three Workflows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Workflow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Engine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Database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Input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8"/>
              </w:rPr>
              <w:t>Strength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WF1: SMPDB Enrichment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tidymass enrich_hmdb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SMPDB/HMDB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HMDB IDs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Seamless tidymass integration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WF2: MSEA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MetaboAnalystR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SMPDB metabolite sets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HMDB IDs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Hypergeometric test, updated sets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WF3: KEGG Topology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MetaboAnalystR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KEGG species-specific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KEGG IDs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Pathway Impact topological score</w:t>
            </w:r>
          </w:p>
        </w:tc>
      </w:tr>
    </w:tbl>
    <w:p>
      <w:r>
        <w:rPr>
          <w:b w:val="0"/>
          <w:i w:val="0"/>
        </w:rPr>
      </w:r>
    </w:p>
    <w:p>
      <w:pPr>
        <w:pStyle w:val="Heading1"/>
      </w:pPr>
      <w:r>
        <w:t>2. System Requirements</w:t>
      </w:r>
    </w:p>
    <w:p>
      <w:pPr>
        <w:pStyle w:val="ListBullet"/>
        <w:ind w:left="720"/>
      </w:pPr>
      <w:r>
        <w:t>R &gt;= 4.2.0</w:t>
      </w:r>
    </w:p>
    <w:p>
      <w:pPr>
        <w:pStyle w:val="ListBullet"/>
        <w:ind w:left="720"/>
      </w:pPr>
      <w:r>
        <w:t>OS: Windows 10/11, macOS, Linux</w:t>
      </w:r>
    </w:p>
    <w:p>
      <w:pPr>
        <w:pStyle w:val="ListBullet"/>
        <w:ind w:left="720"/>
      </w:pPr>
      <w:r>
        <w:t>RAM: &gt;= 8 GB (16 GB for large datasets)</w:t>
      </w:r>
    </w:p>
    <w:p>
      <w:pPr>
        <w:pStyle w:val="ListBullet"/>
        <w:ind w:left="720"/>
      </w:pPr>
      <w:r>
        <w:t>Disk: &gt;= 2 GB free</w:t>
      </w:r>
    </w:p>
    <w:p>
      <w:pPr>
        <w:pStyle w:val="ListBullet"/>
        <w:ind w:left="720"/>
      </w:pPr>
      <w:r>
        <w:t>Network: required for first-run installation</w:t>
      </w:r>
    </w:p>
    <w:p>
      <w:pPr>
        <w:pStyle w:val="Heading1"/>
      </w:pPr>
      <w:r>
        <w:t>3. Input Data</w:t>
      </w:r>
    </w:p>
    <w:p>
      <w:pPr>
        <w:pStyle w:val="Heading2"/>
      </w:pPr>
      <w:r>
        <w:t>3.1 Raw Data</w:t>
      </w:r>
    </w:p>
    <w:p>
      <w:r>
        <w:rPr>
          <w:b w:val="0"/>
          <w:i w:val="0"/>
        </w:rPr>
        <w:t>Place .mzXML files in one directory. Naming: [GroupName][Number].mzXML. E.g.: control1.mzXML, MethiocarbA1.mzXML. Groups auto-detected by stripping trailing digits.</w:t>
      </w:r>
    </w:p>
    <w:p>
      <w:r>
        <w:rPr>
          <w:b w:val="0"/>
          <w:i/>
        </w:rPr>
        <w:t>Important: Group names must NOT contain digits.</w:t>
      </w:r>
    </w:p>
    <w:p>
      <w:pPr>
        <w:pStyle w:val="Heading2"/>
      </w:pPr>
      <w:r>
        <w:t>3.2 Databases</w:t>
      </w:r>
    </w:p>
    <w:p>
      <w:r>
        <w:rPr>
          <w:b w:val="0"/>
          <w:i w:val="0"/>
        </w:rPr>
        <w:t>Place these .rda files in DB_DIR: inhouse_Metabolite.database (with RT), hmdb_ms2_merged.rda, massbank_ms2_merged.rda, mona_ms2_merged.rda, orbitrap_database0.0.3.rda.</w:t>
      </w:r>
    </w:p>
    <w:p>
      <w:pPr>
        <w:pStyle w:val="Heading1"/>
      </w:pPr>
      <w:r>
        <w:t>4.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Default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Tuning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WORK_DIR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"C:\\..."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 directory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Set to actual path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POLARITY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"positive"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Ionization polarity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positive or negative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LOGFC_CUTOFF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log10 FC threshold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0.176(1.5x) or 0.301(2x)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FDR threshold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Relax to 0.1 if &lt;10 hits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ORGANISM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"dre"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Species code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dre=zebrafish, hsa=human, mmu=mouse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MS1_PPM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MS1 tolerance (ppm)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Orbitrap:5-15, QTOF:15-30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PEAK_WIDTH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c(5,30)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Peak width (sec)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Narrow:c(3,15), Wide:c(10,60)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SN_THRESH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S/N threshold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Higher=fewer false peaks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NOISE_LEVEL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Noise level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Adjust to instrument 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MIN_FRACTION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Min detection fraction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0.5=50% samples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N_THREADS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Parallel threads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~80% of CPU cores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INTENSITY_FLOOR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Min intensity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Features below filtered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NORM_METHOD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"median"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Normalization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median, mean, pqn</w:t>
            </w:r>
          </w:p>
        </w:tc>
      </w:tr>
    </w:tbl>
    <w:p>
      <w:r>
        <w:rPr>
          <w:b w:val="0"/>
          <w:i w:val="0"/>
        </w:rPr>
      </w:r>
    </w:p>
    <w:p>
      <w:pPr>
        <w:pStyle w:val="Heading1"/>
      </w:pPr>
      <w:r>
        <w:t>5. Parameter Effects</w:t>
      </w:r>
    </w:p>
    <w:p>
      <w:pPr>
        <w:pStyle w:val="Heading2"/>
      </w:pPr>
      <w:r>
        <w:t>5.1 LOGFC_CUTOFF (Most Critical)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logFC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FC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0.079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1.2x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Too lenient, technical noise, high FPR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0.176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1.5x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Recommended, balanced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0.301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2.0x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Strict, for strong effects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0.477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3.0x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Very strict, dramatic changes only</w:t>
            </w:r>
          </w:p>
        </w:tc>
      </w:tr>
    </w:tbl>
    <w:p>
      <w:r>
        <w:rPr>
          <w:b w:val="0"/>
          <w:i w:val="0"/>
        </w:rPr>
      </w:r>
    </w:p>
    <w:p>
      <w:pPr>
        <w:pStyle w:val="Heading2"/>
      </w:pPr>
      <w:r>
        <w:t>5.2 ALPHA</w:t>
      </w:r>
    </w:p>
    <w:p>
      <w:r>
        <w:rPr>
          <w:b w:val="0"/>
          <w:i w:val="0"/>
        </w:rPr>
        <w:t>FDR-adjusted. &lt;10 hits: relax to 0.1. &gt;500 hits: tighten to 0.01.</w:t>
      </w:r>
    </w:p>
    <w:p>
      <w:pPr>
        <w:pStyle w:val="Heading2"/>
      </w:pPr>
      <w:r>
        <w:t>5.3 ORGANISM</w:t>
      </w:r>
    </w:p>
    <w:p>
      <w:r>
        <w:rPr>
          <w:b w:val="0"/>
          <w:i w:val="0"/>
        </w:rPr>
        <w:t>Affects WF3 only. Codes: hsa(human), mmu(mouse), rno(rat), dre(zebrafish), dme(fly), cel(worm).</w:t>
      </w:r>
    </w:p>
    <w:p>
      <w:pPr>
        <w:pStyle w:val="Heading1"/>
      </w:pPr>
      <w:r>
        <w:t>6. Output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Directory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File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PCA_scores.pdf/tiff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PCA scores plot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diff_peaks/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*_diff.csv + volcano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Differential features + Nature volcano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diff_metabolites/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smpdb_*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WF1: SMPDB enrichment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diff_metabolites/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msea_*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WF2: MSEA enrichment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diff_metabolites/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kegg_* + metabolome_view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WF3: KEGG topology + Impact plot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diff_metabolites/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heatmap_*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Heatmap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Boxplot/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*.pdf/tiff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Per-metabolite boxplots</w:t>
            </w:r>
          </w:p>
        </w:tc>
      </w:tr>
    </w:tbl>
    <w:p>
      <w:r>
        <w:rPr>
          <w:b w:val="0"/>
          <w:i w:val="0"/>
        </w:rPr>
      </w:r>
    </w:p>
    <w:p>
      <w:pPr>
        <w:pStyle w:val="Heading1"/>
      </w:pPr>
      <w:r>
        <w:t>7. Figure Specs</w:t>
      </w:r>
    </w:p>
    <w:p>
      <w:pPr>
        <w:pStyle w:val="ListBullet"/>
        <w:ind w:left="720"/>
      </w:pPr>
      <w:r>
        <w:rPr>
          <w:b/>
        </w:rPr>
        <w:t xml:space="preserve">Font: </w:t>
      </w:r>
      <w:r>
        <w:t>Arial, 7-9pt</w:t>
      </w:r>
    </w:p>
    <w:p>
      <w:pPr>
        <w:pStyle w:val="ListBullet"/>
        <w:ind w:left="720"/>
      </w:pPr>
      <w:r>
        <w:rPr>
          <w:b/>
        </w:rPr>
        <w:t xml:space="preserve">Format: </w:t>
      </w:r>
      <w:r>
        <w:t>PDF vector + TIFF 300 DPI</w:t>
      </w:r>
    </w:p>
    <w:p>
      <w:pPr>
        <w:pStyle w:val="ListBullet"/>
        <w:ind w:left="720"/>
      </w:pPr>
      <w:r>
        <w:rPr>
          <w:b/>
        </w:rPr>
        <w:t xml:space="preserve">Colors: </w:t>
      </w:r>
      <w:r>
        <w:t>NPG palette (Nature Publishing Group)</w:t>
      </w:r>
    </w:p>
    <w:p>
      <w:pPr>
        <w:pStyle w:val="ListBullet"/>
        <w:ind w:left="720"/>
      </w:pPr>
      <w:r>
        <w:rPr>
          <w:b/>
        </w:rPr>
        <w:t xml:space="preserve">Volcano: </w:t>
      </w:r>
      <w:r>
        <w:t>Volcano: blue(#3C5488) down, grey NS, red(#E64B35) up</w:t>
      </w:r>
    </w:p>
    <w:p>
      <w:pPr>
        <w:pStyle w:val="ListBullet"/>
        <w:ind w:left="720"/>
      </w:pPr>
      <w:r>
        <w:rPr>
          <w:b/>
        </w:rPr>
        <w:t xml:space="preserve">Heatmap: </w:t>
      </w:r>
      <w:r>
        <w:t>Heatmap: navy-white-red</w:t>
      </w:r>
    </w:p>
    <w:p>
      <w:pPr>
        <w:pStyle w:val="ListBullet"/>
        <w:ind w:left="720"/>
      </w:pPr>
      <w:r>
        <w:rPr>
          <w:b/>
        </w:rPr>
        <w:t xml:space="preserve">Bubbles: </w:t>
      </w:r>
      <w:r>
        <w:t>Bubbles: Viridis yellow-green-blue-purple</w:t>
      </w:r>
    </w:p>
    <w:p>
      <w:pPr>
        <w:pStyle w:val="ListBullet"/>
        <w:ind w:left="720"/>
      </w:pPr>
      <w:r>
        <w:rPr>
          <w:b/>
        </w:rPr>
        <w:t xml:space="preserve">Size: </w:t>
      </w:r>
      <w:r>
        <w:t>Single-col 5x5in, double-col 7x5in</w:t>
      </w:r>
    </w:p>
    <w:p>
      <w:pPr>
        <w:pStyle w:val="Heading1"/>
      </w:pPr>
      <w:r>
        <w:t>8. FAQ</w:t>
      </w:r>
    </w:p>
    <w:p>
      <w:pPr>
        <w:pStyle w:val="Heading2"/>
      </w:pPr>
      <w:r>
        <w:t>Q1: MetaboAnalystR install fails?</w:t>
      </w:r>
    </w:p>
    <w:p>
      <w:r>
        <w:rPr>
          <w:b w:val="0"/>
          <w:i w:val="0"/>
        </w:rPr>
        <w:t>Manually install failing Bioconductor packages first. WF1 runs independently.</w:t>
      </w:r>
    </w:p>
    <w:p>
      <w:pPr>
        <w:pStyle w:val="Heading2"/>
      </w:pPr>
      <w:r>
        <w:t>Q2: Zero differential metabolites?</w:t>
      </w:r>
    </w:p>
    <w:p>
      <w:r>
        <w:rPr>
          <w:b w:val="0"/>
          <w:i w:val="0"/>
        </w:rPr>
        <w:t>Relax: (1) LOGFC to 0.079; (2) ALPHA to 0.1; (3) Check PCA separation.</w:t>
      </w:r>
    </w:p>
    <w:p>
      <w:pPr>
        <w:pStyle w:val="Heading2"/>
      </w:pPr>
      <w:r>
        <w:t>Q3: All pathway adj.P &gt; 0.05?</w:t>
      </w:r>
    </w:p>
    <w:p>
      <w:r>
        <w:rPr>
          <w:b w:val="0"/>
          <w:i w:val="0"/>
        </w:rPr>
        <w:t>Common with &lt;20 metabolites. Use raw p for exploration (note in paper), compare across 3 WFs, increase sample size.</w:t>
      </w:r>
    </w:p>
    <w:p>
      <w:pPr>
        <w:pStyle w:val="Heading2"/>
      </w:pPr>
      <w:r>
        <w:t>Q4: Inconsistent across workflows?</w:t>
      </w:r>
    </w:p>
    <w:p>
      <w:r>
        <w:rPr>
          <w:b w:val="0"/>
          <w:i w:val="0"/>
        </w:rPr>
        <w:t>Expected. Pathways significant in all 3 are most reliable. WF3 high-Impact + low-p pathways are priority.</w:t>
      </w:r>
    </w:p>
    <w:p>
      <w:pPr>
        <w:pStyle w:val="Heading1"/>
      </w:pPr>
      <w:r>
        <w:t>9. Citations</w:t>
      </w:r>
    </w:p>
    <w:p>
      <w:pPr>
        <w:pStyle w:val="ListBullet"/>
        <w:ind w:left="720"/>
      </w:pPr>
      <w:r>
        <w:t>tidymass: Shen X, et al. Nature Communications, 2022.</w:t>
      </w:r>
    </w:p>
    <w:p>
      <w:pPr>
        <w:pStyle w:val="ListBullet"/>
        <w:ind w:left="720"/>
      </w:pPr>
      <w:r>
        <w:t>MetaboAnalystR: Pang Z, et al. Metabolites, 2020.</w:t>
      </w:r>
    </w:p>
    <w:p>
      <w:pPr>
        <w:pStyle w:val="ListBullet"/>
        <w:ind w:left="720"/>
      </w:pPr>
      <w:r>
        <w:t>limma: Ritchie ME, et al. Nucleic Acids Research, 2015.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2E75B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