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MetaboFlow v1.0</w:t>
      </w:r>
    </w:p>
    <w:p>
      <w:pPr>
        <w:pStyle w:val="BodyText"/>
      </w:pPr>
      <w:r>
        <w:rPr>
          <w:rFonts w:hint="eastAsia"/>
          <w:b/>
          <w:bCs/>
        </w:rPr>
        <w:t xml:space="preserve">非靶向代谢组学四工作流集成分析系统</w:t>
      </w:r>
    </w:p>
    <w:p>
      <w:pPr>
        <w:pStyle w:val="BodyText"/>
      </w:pPr>
      <w:r>
        <w:rPr>
          <w:rFonts w:hint="eastAsia"/>
          <w:b/>
          <w:bCs/>
        </w:rPr>
        <w:t xml:space="preserve">用户使用手册</w:t>
      </w:r>
    </w:p>
    <w:bookmarkStart w:id="10" w:name="一系统简介"/>
    <w:p>
      <w:pPr>
        <w:pStyle w:val="Heading1"/>
      </w:pPr>
      <w:r>
        <w:rPr>
          <w:rFonts w:hint="eastAsia"/>
        </w:rPr>
        <w:t xml:space="preserve">一、系统简介</w:t>
      </w:r>
    </w:p>
    <w:p>
      <w:pPr>
        <w:pStyle w:val="FirstParagraph"/>
      </w:pPr>
      <w:r>
        <w:rPr>
          <w:rFonts w:hint="eastAsia"/>
        </w:rPr>
        <w:t xml:space="preserve">MetaboFlow是一套基于R语言的非靶向代谢组学全流程分析系统，集成了从原始数据处理到通路富集分析的完整工作流。核心特点是”一次输入、四线并行”——输入原始mzXML质谱数据后，自动完成特征提取、缺失值填充、归一化、差异分析、代谢物注释，并同时运行四个独立的通路分析工作流进行交叉验证。其中三个ORA（过表达分析）工作流基于差异代谢物列表分析，一个QEA（定量富集分析）工作流直接利用完整的浓度/强度矩阵，统计效力更高。所有图表按Nature论文投稿标准渲染（NPG配色、Arial字体、PDF矢量+TIFF</w:t>
      </w:r>
      <w:r>
        <w:t xml:space="preserve"> </w:t>
      </w:r>
      <w:r>
        <w:rPr>
          <w:rFonts w:hint="eastAsia"/>
        </w:rPr>
        <w:t xml:space="preserve">300DPI双格式输出）。</w:t>
      </w:r>
    </w:p>
    <w:bookmarkStart w:id="9" w:name="四个工作流"/>
    <w:p>
      <w:pPr>
        <w:pStyle w:val="Heading2"/>
      </w:pPr>
      <w:r>
        <w:t xml:space="preserve">1.1 </w:t>
      </w:r>
      <w:r>
        <w:rPr>
          <w:rFonts w:hint="eastAsia"/>
        </w:rPr>
        <w:t xml:space="preserve">四个工作流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WF1: </w:t>
            </w:r>
            <w:r>
              <w:rPr>
                <w:rFonts w:hint="eastAsia"/>
              </w:rPr>
              <w:t xml:space="preserve">SMPDB通路富集</w:t>
            </w:r>
          </w:p>
        </w:tc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tidymass enrich_hmdb</w:t>
            </w:r>
          </w:p>
        </w:tc>
        <w:tc>
          <w:tcPr/>
          <w:p>
            <w:pPr>
              <w:pStyle w:val="Compact"/>
            </w:pPr>
            <w:r>
              <w:t xml:space="preserve">SMPDB/HMDB</w:t>
            </w:r>
          </w:p>
        </w:tc>
        <w:tc>
          <w:tcPr/>
          <w:p>
            <w:pPr>
              <w:pStyle w:val="Compact"/>
            </w:pPr>
            <w:r>
              <w:t xml:space="preserve">HMDB </w:t>
            </w:r>
            <w:r>
              <w:rPr>
                <w:rFonts w:hint="eastAsia"/>
              </w:rPr>
              <w:t xml:space="preserve">ID（差异列表）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与tidymass生态无缝衔接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WF2: </w:t>
            </w:r>
            <w:r>
              <w:rPr>
                <w:rFonts w:hint="eastAsia"/>
              </w:rPr>
              <w:t xml:space="preserve">MSEA代谢物集富集</w:t>
            </w:r>
          </w:p>
        </w:tc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MetaboAnalystR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SMPDB代谢物集</w:t>
            </w:r>
          </w:p>
        </w:tc>
        <w:tc>
          <w:tcPr/>
          <w:p>
            <w:pPr>
              <w:pStyle w:val="Compact"/>
            </w:pPr>
            <w:r>
              <w:t xml:space="preserve">HMDB </w:t>
            </w:r>
            <w:r>
              <w:rPr>
                <w:rFonts w:hint="eastAsia"/>
              </w:rPr>
              <w:t xml:space="preserve">ID（差异列表）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超几何检验，定期更新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WF3: </w:t>
            </w:r>
            <w:r>
              <w:rPr>
                <w:rFonts w:hint="eastAsia"/>
              </w:rPr>
              <w:t xml:space="preserve">KEGG拓扑通路分析</w:t>
            </w:r>
          </w:p>
        </w:tc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MetaboAnalystR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KEGG物种库</w:t>
            </w:r>
          </w:p>
        </w:tc>
        <w:tc>
          <w:tcPr/>
          <w:p>
            <w:pPr>
              <w:pStyle w:val="Compact"/>
            </w:pPr>
            <w:r>
              <w:t xml:space="preserve">KEGG </w:t>
            </w:r>
            <w:r>
              <w:rPr>
                <w:rFonts w:hint="eastAsia"/>
              </w:rPr>
              <w:t xml:space="preserve">ID（差异列表）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提供Pathway</w:t>
            </w:r>
            <w:r>
              <w:t xml:space="preserve"> </w:t>
            </w:r>
            <w:r>
              <w:rPr>
                <w:rFonts w:hint="eastAsia"/>
              </w:rPr>
              <w:t xml:space="preserve">Impact拓扑评分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WF4: </w:t>
            </w:r>
            <w:r>
              <w:rPr>
                <w:rFonts w:hint="eastAsia"/>
              </w:rPr>
              <w:t xml:space="preserve">QEA定量富集分析</w:t>
            </w:r>
          </w:p>
        </w:tc>
        <w:tc>
          <w:tcPr/>
          <w:p>
            <w:pPr>
              <w:pStyle w:val="Compact"/>
            </w:pPr>
            <w:r>
              <w:t xml:space="preserve">QEA</w:t>
            </w:r>
          </w:p>
        </w:tc>
        <w:tc>
          <w:tcPr/>
          <w:p>
            <w:pPr>
              <w:pStyle w:val="Compact"/>
            </w:pPr>
            <w:r>
              <w:t xml:space="preserve">MetaboAnalystR</w:t>
            </w:r>
          </w:p>
        </w:tc>
        <w:tc>
          <w:tcPr/>
          <w:p>
            <w:pPr>
              <w:pStyle w:val="Compact"/>
            </w:pPr>
            <w:r>
              <w:t xml:space="preserve">SMPDB pathway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浓度/强度矩阵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利用完整定量数据，GlobalTest算法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ORA与QEA的区别：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ORA（WF1–3）：</w:t>
      </w:r>
      <w:r>
        <w:t xml:space="preserve"> </w:t>
      </w:r>
      <w:r>
        <w:rPr>
          <w:rFonts w:hint="eastAsia"/>
        </w:rPr>
        <w:t xml:space="preserve">先通过limma筛选差异代谢物，再检验这些代谢物在通路中是否富集。输入是化合物ID列表。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QEA（WF4）：</w:t>
      </w:r>
      <w:r>
        <w:t xml:space="preserve"> </w:t>
      </w:r>
      <w:r>
        <w:rPr>
          <w:rFonts w:hint="eastAsia"/>
        </w:rPr>
        <w:t xml:space="preserve">直接使用已注释代谢物的完整浓度/强度矩阵及分组标签，无需预先筛选。采用GlobalTest算法，因利用了定量信息而具有更高的统计效力。</w:t>
      </w:r>
    </w:p>
    <w:p>
      <w:pPr>
        <w:pStyle w:val="FirstParagraph"/>
      </w:pPr>
      <w:r>
        <w:rPr>
          <w:rFonts w:hint="eastAsia"/>
        </w:rPr>
        <w:t xml:space="preserve">ORA和QEA结果交叉验证，能得出最稳健的通路结论。</w:t>
      </w:r>
    </w:p>
    <w:bookmarkEnd w:id="9"/>
    <w:bookmarkEnd w:id="10"/>
    <w:bookmarkStart w:id="11" w:name="二系统要求"/>
    <w:p>
      <w:pPr>
        <w:pStyle w:val="Heading1"/>
      </w:pPr>
      <w:r>
        <w:rPr>
          <w:rFonts w:hint="eastAsia"/>
        </w:rPr>
        <w:t xml:space="preserve">二、系统要求</w:t>
      </w:r>
    </w:p>
    <w:p>
      <w:pPr>
        <w:pStyle w:val="Compact"/>
        <w:numPr>
          <w:ilvl w:val="0"/>
          <w:numId w:val="1002"/>
        </w:numPr>
      </w:pPr>
      <w:r>
        <w:t xml:space="preserve">R &gt;= 4.2.0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操作系统：Windows</w:t>
      </w:r>
      <w:r>
        <w:t xml:space="preserve"> 10/11, macOS, Linux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内存：&gt;=</w:t>
      </w:r>
      <w:r>
        <w:t xml:space="preserve"> 8 </w:t>
      </w:r>
      <w:r>
        <w:rPr>
          <w:rFonts w:hint="eastAsia"/>
        </w:rPr>
        <w:t xml:space="preserve">GB（大数据集需16</w:t>
      </w:r>
      <w:r>
        <w:t xml:space="preserve"> </w:t>
      </w:r>
      <w:r>
        <w:rPr>
          <w:rFonts w:hint="eastAsia"/>
        </w:rPr>
        <w:t xml:space="preserve">GB）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磁盘：至少2</w:t>
      </w:r>
      <w:r>
        <w:t xml:space="preserve"> </w:t>
      </w:r>
      <w:r>
        <w:rPr>
          <w:rFonts w:hint="eastAsia"/>
        </w:rPr>
        <w:t xml:space="preserve">GB可用空间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网络：首次运行需联网安装R包和KEGG库</w:t>
      </w:r>
    </w:p>
    <w:bookmarkEnd w:id="11"/>
    <w:bookmarkStart w:id="14" w:name="三输入数据要求"/>
    <w:p>
      <w:pPr>
        <w:pStyle w:val="Heading1"/>
      </w:pPr>
      <w:r>
        <w:rPr>
          <w:rFonts w:hint="eastAsia"/>
        </w:rPr>
        <w:t xml:space="preserve">三、输入数据要求</w:t>
      </w:r>
    </w:p>
    <w:bookmarkStart w:id="12" w:name="原始数据"/>
    <w:p>
      <w:pPr>
        <w:pStyle w:val="Heading2"/>
      </w:pPr>
      <w:r>
        <w:t xml:space="preserve">3.1 </w:t>
      </w:r>
      <w:r>
        <w:rPr>
          <w:rFonts w:hint="eastAsia"/>
        </w:rPr>
        <w:t xml:space="preserve">原始数据</w:t>
      </w:r>
    </w:p>
    <w:p>
      <w:pPr>
        <w:pStyle w:val="FirstParagraph"/>
      </w:pPr>
      <w:r>
        <w:rPr>
          <w:rFonts w:hint="eastAsia"/>
        </w:rPr>
        <w:t xml:space="preserve">将所有样本的.mzXML文件放入同一文件夹。命名规则：[组名][编号].mzXML。例如：control1.mzXML,</w:t>
      </w:r>
      <w:r>
        <w:t xml:space="preserve"> </w:t>
      </w:r>
      <w:r>
        <w:rPr>
          <w:rFonts w:hint="eastAsia"/>
        </w:rPr>
        <w:t xml:space="preserve">MethiocarbA1.mzXML。系统通过去除文件名末尾数字自动识别分组。</w:t>
      </w:r>
    </w:p>
    <w:p>
      <w:pPr>
        <w:pStyle w:val="BodyText"/>
      </w:pPr>
      <w:r>
        <w:rPr>
          <w:rFonts w:hint="eastAsia"/>
          <w:i/>
          <w:iCs/>
        </w:rPr>
        <w:t xml:space="preserve">注意：分组名中不能包含数字，否则分组识别出错。例如不要命名为”Dose10mg1.mzXML”。</w:t>
      </w:r>
    </w:p>
    <w:bookmarkEnd w:id="12"/>
    <w:bookmarkStart w:id="13" w:name="数据库文件"/>
    <w:p>
      <w:pPr>
        <w:pStyle w:val="Heading2"/>
      </w:pPr>
      <w:r>
        <w:t xml:space="preserve">3.2 </w:t>
      </w:r>
      <w:r>
        <w:rPr>
          <w:rFonts w:hint="eastAsia"/>
        </w:rPr>
        <w:t xml:space="preserve">数据库文件</w:t>
      </w:r>
    </w:p>
    <w:p>
      <w:pPr>
        <w:pStyle w:val="FirstParagraph"/>
      </w:pPr>
      <w:r>
        <w:rPr>
          <w:rFonts w:hint="eastAsia"/>
        </w:rPr>
        <w:t xml:space="preserve">在DB_DIR路径下放置以下.rda文件：inhouse_Metabolite.database（自建标准品库，含RT）、hmdb_ms2_merged.rda、massbank_ms2_merged.rda、mona_ms2_merged.rda、orbitrap_database0.0.3.rda。</w:t>
      </w:r>
    </w:p>
    <w:bookmarkEnd w:id="13"/>
    <w:bookmarkEnd w:id="14"/>
    <w:bookmarkStart w:id="15" w:name="四可调参数详解"/>
    <w:p>
      <w:pPr>
        <w:pStyle w:val="Heading1"/>
      </w:pPr>
      <w:r>
        <w:rPr>
          <w:rFonts w:hint="eastAsia"/>
        </w:rPr>
        <w:t xml:space="preserve">四、可调参数详解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调整建议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WORK_DIR</w:t>
            </w:r>
          </w:p>
        </w:tc>
        <w:tc>
          <w:tcPr/>
          <w:p>
            <w:pPr>
              <w:pStyle w:val="Compact"/>
            </w:pPr>
            <w:r>
              <w:t xml:space="preserve">“path/to/your/data”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数据文件夹路径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改为实际路径；所有系统均使用正斜杠(/)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POLARITY</w:t>
            </w:r>
          </w:p>
        </w:tc>
        <w:tc>
          <w:tcPr/>
          <w:p>
            <w:pPr>
              <w:pStyle w:val="Compact"/>
            </w:pPr>
            <w:r>
              <w:t xml:space="preserve">“positive”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质谱极性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positive或negative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LOGFC_CUTOFF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log10 </w:t>
            </w:r>
            <w:r>
              <w:rPr>
                <w:rFonts w:hint="eastAsia"/>
              </w:rPr>
              <w:t xml:space="preserve">FC阈值(0.176=1.5x)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0.176(1.5x)或0.301(2x)。降低则更多差异代谢物但噪声增加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FDR校正p值阈值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差异代谢物不足10个可放宽至0.1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“dre”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物种代码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dre=斑马鱼,</w:t>
            </w:r>
            <w:r>
              <w:t xml:space="preserve"> </w:t>
            </w:r>
            <w:r>
              <w:rPr>
                <w:rFonts w:hint="eastAsia"/>
              </w:rPr>
              <w:t xml:space="preserve">hsa=人,</w:t>
            </w:r>
            <w:r>
              <w:t xml:space="preserve"> </w:t>
            </w:r>
            <w:r>
              <w:rPr>
                <w:rFonts w:hint="eastAsia"/>
              </w:rPr>
              <w:t xml:space="preserve">mmu=小鼠,</w:t>
            </w:r>
            <w:r>
              <w:t xml:space="preserve"> </w:t>
            </w:r>
            <w:r>
              <w:rPr>
                <w:rFonts w:hint="eastAsia"/>
              </w:rPr>
              <w:t xml:space="preserve">rno=大鼠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MS1_PPM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MS1质量容差(ppm)</w:t>
            </w:r>
          </w:p>
        </w:tc>
        <w:tc>
          <w:tcPr/>
          <w:p>
            <w:pPr>
              <w:pStyle w:val="Compact"/>
            </w:pPr>
            <w:r>
              <w:t xml:space="preserve">Orbitrap: 5-15, QTOF: 15-30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PEAK_WIDTH</w:t>
            </w:r>
          </w:p>
        </w:tc>
        <w:tc>
          <w:tcPr/>
          <w:p>
            <w:pPr>
              <w:pStyle w:val="Compact"/>
            </w:pPr>
            <w:r>
              <w:t xml:space="preserve">c(5,30)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峰宽范围(秒)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窄峰c(3,15),</w:t>
            </w:r>
            <w:r>
              <w:t xml:space="preserve"> </w:t>
            </w:r>
            <w:r>
              <w:rPr>
                <w:rFonts w:hint="eastAsia"/>
              </w:rPr>
              <w:t xml:space="preserve">宽峰c(10,60)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SN_THRESH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信噪比阈值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提高则减少假峰，可能丢低丰度信号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NOISE_LEVEL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根据仪器基线调整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MIN_FRACTION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最小检出率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0.5=至少50%样本检出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N_THREADS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并行线程数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设为CPU核心数的80%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INTENSITY_FLOOR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低于此值的feature被过滤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NORM_METHOD</w:t>
            </w:r>
          </w:p>
        </w:tc>
        <w:tc>
          <w:tcPr/>
          <w:p>
            <w:pPr>
              <w:pStyle w:val="Compact"/>
            </w:pPr>
            <w:r>
              <w:t xml:space="preserve">“median”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归一化方法</w:t>
            </w:r>
          </w:p>
        </w:tc>
        <w:tc>
          <w:tcPr/>
          <w:p>
            <w:pPr>
              <w:pStyle w:val="Compact"/>
            </w:pPr>
            <w:r>
              <w:t xml:space="preserve">median, mean, pqn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CONTROL_GROUP</w:t>
            </w:r>
          </w:p>
        </w:tc>
        <w:tc>
          <w:tcPr/>
          <w:p>
            <w:pPr>
              <w:pStyle w:val="Compact"/>
            </w:pPr>
            <w:r>
              <w:t xml:space="preserve">“control”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必须与文件名前缀完全匹配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MODEL_GROUP</w:t>
            </w:r>
          </w:p>
        </w:tc>
        <w:tc>
          <w:tcPr/>
          <w:p>
            <w:pPr>
              <w:pStyle w:val="Compact"/>
            </w:pPr>
            <w:r>
              <w:t xml:space="preserve">“MethiocarbA”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模型组/处理组名称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必须与文件名前缀完全匹配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DB_DIR</w:t>
            </w:r>
          </w:p>
        </w:tc>
        <w:tc>
          <w:tcPr/>
          <w:p>
            <w:pPr>
              <w:pStyle w:val="Compact"/>
            </w:pPr>
            <w:r>
              <w:t xml:space="preserve">“path/to/your/inhouse_database”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数据库文件夹路径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使用正斜杠或file.path()以兼容各操作系统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关于CONTROL_GROUP和MODEL_GROUP：</w:t>
      </w:r>
      <w:r>
        <w:t xml:space="preserve"> </w:t>
      </w:r>
      <w:r>
        <w:rPr>
          <w:rFonts w:hint="eastAsia"/>
        </w:rPr>
        <w:t xml:space="preserve">这两个参数必须与文件名去除末尾数字后的组名完全一致。例如，文件名为”control1.mzXML”、</w:t>
      </w:r>
      <w:r>
        <w:t xml:space="preserve">“control2.mzXML”</w:t>
      </w:r>
      <w:r>
        <w:t xml:space="preserve">、</w:t>
      </w:r>
      <w:r>
        <w:t xml:space="preserve">“DrugA1.mzXML”</w:t>
      </w:r>
      <w:r>
        <w:t xml:space="preserve">、</w:t>
      </w:r>
      <w:r>
        <w:t xml:space="preserve">“DrugA2.mzXML”</w:t>
      </w:r>
      <w:r>
        <w:rPr>
          <w:rFonts w:hint="eastAsia"/>
        </w:rPr>
        <w:t xml:space="preserve">时，应设置CONTROL_GROUP为”control”，MODEL_GROUP为”DrugA”。</w:t>
      </w:r>
    </w:p>
    <w:p>
      <w:pPr>
        <w:pStyle w:val="BodyText"/>
      </w:pPr>
      <w:r>
        <w:rPr>
          <w:rFonts w:hint="eastAsia"/>
          <w:b/>
          <w:bCs/>
        </w:rPr>
        <w:t xml:space="preserve">跨平台路径说明：</w:t>
      </w:r>
      <w:r>
        <w:t xml:space="preserve"> </w:t>
      </w:r>
      <w:r>
        <w:rPr>
          <w:rFonts w:hint="eastAsia"/>
        </w:rPr>
        <w:t xml:space="preserve">所有路径均使用正斜杠(/)，R在Windows/macOS/Linux上均正确处理正斜杠。</w:t>
      </w:r>
    </w:p>
    <w:bookmarkEnd w:id="15"/>
    <w:bookmarkStart w:id="19" w:name="五参数调整对结果的影响"/>
    <w:p>
      <w:pPr>
        <w:pStyle w:val="Heading1"/>
      </w:pPr>
      <w:r>
        <w:rPr>
          <w:rFonts w:hint="eastAsia"/>
        </w:rPr>
        <w:t xml:space="preserve">五、参数调整对结果的影响</w:t>
      </w:r>
    </w:p>
    <w:bookmarkStart w:id="16" w:name="logfc_cutoff最关键"/>
    <w:p>
      <w:pPr>
        <w:pStyle w:val="Heading2"/>
      </w:pPr>
      <w:r>
        <w:t xml:space="preserve">5.1 </w:t>
      </w:r>
      <w:r>
        <w:rPr>
          <w:rFonts w:hint="eastAsia"/>
        </w:rPr>
        <w:t xml:space="preserve">LOGFC_CUTOFF（最关键）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1.2x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过于宽松，含技术噪声，假阳性率高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1.5x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推荐默认值，平衡灵敏度和特异性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0.301</w:t>
            </w:r>
          </w:p>
        </w:tc>
        <w:tc>
          <w:tcPr/>
          <w:p>
            <w:pPr>
              <w:pStyle w:val="Compact"/>
            </w:pPr>
            <w:r>
              <w:t xml:space="preserve">2.0x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严格，适合强效应实验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0.477</w:t>
            </w:r>
          </w:p>
        </w:tc>
        <w:tc>
          <w:tcPr/>
          <w:p>
            <w:pPr>
              <w:pStyle w:val="Compact"/>
            </w:pPr>
            <w:r>
              <w:t xml:space="preserve">3.0x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非常严格，仅保留剧烈变化</w:t>
            </w:r>
          </w:p>
        </w:tc>
      </w:tr>
    </w:tbl>
    <w:bookmarkEnd w:id="16"/>
    <w:bookmarkStart w:id="17" w:name="alpha"/>
    <w:p>
      <w:pPr>
        <w:pStyle w:val="Heading2"/>
      </w:pPr>
      <w:r>
        <w:t xml:space="preserve">5.2 ALPHA</w:t>
      </w:r>
    </w:p>
    <w:p>
      <w:pPr>
        <w:pStyle w:val="FirstParagraph"/>
      </w:pPr>
      <w:r>
        <w:rPr>
          <w:rFonts w:hint="eastAsia"/>
        </w:rPr>
        <w:t xml:space="preserve">使用FDR校正后adj.P.Val。差异代谢物不足10个则放宽至0.1；超过500个则收紧至0.01。</w:t>
      </w:r>
    </w:p>
    <w:bookmarkEnd w:id="17"/>
    <w:bookmarkStart w:id="18" w:name="organism"/>
    <w:p>
      <w:pPr>
        <w:pStyle w:val="Heading2"/>
      </w:pPr>
      <w:r>
        <w:t xml:space="preserve">5.3 ORGANISM</w:t>
      </w:r>
    </w:p>
    <w:p>
      <w:pPr>
        <w:pStyle w:val="FirstParagraph"/>
      </w:pPr>
      <w:r>
        <w:rPr>
          <w:rFonts w:hint="eastAsia"/>
        </w:rPr>
        <w:t xml:space="preserve">仅影响WF3</w:t>
      </w:r>
      <w:r>
        <w:t xml:space="preserve"> </w:t>
      </w:r>
      <w:r>
        <w:rPr>
          <w:rFonts w:hint="eastAsia"/>
        </w:rPr>
        <w:t xml:space="preserve">KEGG通路分析。常用代码：hsa(人),</w:t>
      </w:r>
      <w:r>
        <w:t xml:space="preserve"> </w:t>
      </w:r>
      <w:r>
        <w:rPr>
          <w:rFonts w:hint="eastAsia"/>
        </w:rPr>
        <w:t xml:space="preserve">mmu(小鼠),</w:t>
      </w:r>
      <w:r>
        <w:t xml:space="preserve"> </w:t>
      </w:r>
      <w:r>
        <w:rPr>
          <w:rFonts w:hint="eastAsia"/>
        </w:rPr>
        <w:t xml:space="preserve">rno(大鼠),</w:t>
      </w:r>
      <w:r>
        <w:t xml:space="preserve"> </w:t>
      </w:r>
      <w:r>
        <w:rPr>
          <w:rFonts w:hint="eastAsia"/>
        </w:rPr>
        <w:t xml:space="preserve">dre(斑马鱼),</w:t>
      </w:r>
      <w:r>
        <w:t xml:space="preserve"> </w:t>
      </w:r>
      <w:r>
        <w:rPr>
          <w:rFonts w:hint="eastAsia"/>
        </w:rPr>
        <w:t xml:space="preserve">dme(果蝇),</w:t>
      </w:r>
      <w:r>
        <w:t xml:space="preserve"> </w:t>
      </w:r>
      <w:r>
        <w:rPr>
          <w:rFonts w:hint="eastAsia"/>
        </w:rPr>
        <w:t xml:space="preserve">cel(线虫)。</w:t>
      </w:r>
    </w:p>
    <w:bookmarkEnd w:id="18"/>
    <w:bookmarkEnd w:id="19"/>
    <w:bookmarkStart w:id="20" w:name="六输出文件"/>
    <w:p>
      <w:pPr>
        <w:pStyle w:val="Heading1"/>
      </w:pPr>
      <w:r>
        <w:rPr>
          <w:rFonts w:hint="eastAsia"/>
        </w:rPr>
        <w:t xml:space="preserve">六、输出文件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根目录</w:t>
            </w:r>
          </w:p>
        </w:tc>
        <w:tc>
          <w:tcPr/>
          <w:p>
            <w:pPr>
              <w:pStyle w:val="Compact"/>
            </w:pPr>
            <w:r>
              <w:t xml:space="preserve">PCA_scores.pdf/tiff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PCA得分图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差异代谢峰/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*差异峰.csv</w:t>
            </w:r>
            <w:r>
              <w:t xml:space="preserve"> + </w:t>
            </w:r>
            <w:r>
              <w:rPr>
                <w:rFonts w:hint="eastAsia"/>
              </w:rPr>
              <w:t xml:space="preserve">火山图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差异代谢峰列表和Nature级别火山图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smpdb_*.xlsx/pdf/tiff</w:t>
            </w:r>
          </w:p>
        </w:tc>
        <w:tc>
          <w:tcPr/>
          <w:p>
            <w:pPr>
              <w:pStyle w:val="Compact"/>
            </w:pPr>
            <w:r>
              <w:t xml:space="preserve">WF1: </w:t>
            </w:r>
            <w:r>
              <w:rPr>
                <w:rFonts w:hint="eastAsia"/>
              </w:rPr>
              <w:t xml:space="preserve">SMPDB通路富集结果和气泡图(ORA)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msea_*.xlsx/pdf/tiff</w:t>
            </w:r>
          </w:p>
        </w:tc>
        <w:tc>
          <w:tcPr/>
          <w:p>
            <w:pPr>
              <w:pStyle w:val="Compact"/>
            </w:pPr>
            <w:r>
              <w:t xml:space="preserve">WF2: </w:t>
            </w:r>
            <w:r>
              <w:rPr>
                <w:rFonts w:hint="eastAsia"/>
              </w:rPr>
              <w:t xml:space="preserve">MSEA富集结果和气泡图(ORA)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kegg_*.xlsx + metabolome_view</w:t>
            </w:r>
          </w:p>
        </w:tc>
        <w:tc>
          <w:tcPr/>
          <w:p>
            <w:pPr>
              <w:pStyle w:val="Compact"/>
            </w:pPr>
            <w:r>
              <w:t xml:space="preserve">WF3: </w:t>
            </w:r>
            <w:r>
              <w:rPr>
                <w:rFonts w:hint="eastAsia"/>
              </w:rPr>
              <w:t xml:space="preserve">KEGG通路+Impact散点图(ORA)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qea_*.xlsx/pdf/tiff</w:t>
            </w:r>
          </w:p>
        </w:tc>
        <w:tc>
          <w:tcPr/>
          <w:p>
            <w:pPr>
              <w:pStyle w:val="Compact"/>
            </w:pPr>
            <w:r>
              <w:t xml:space="preserve">WF4: </w:t>
            </w:r>
            <w:r>
              <w:rPr>
                <w:rFonts w:hint="eastAsia"/>
              </w:rPr>
              <w:t xml:space="preserve">定量富集分析结果和气泡图(QEA)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heatmap_*.pdf/tiff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差异代谢物热图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差异代谢物/</w:t>
            </w:r>
          </w:p>
        </w:tc>
        <w:tc>
          <w:tcPr/>
          <w:p>
            <w:pPr>
              <w:pStyle w:val="Compact"/>
            </w:pPr>
            <w:r>
              <w:t xml:space="preserve">summary_*.xlsx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Boxplot/</w:t>
            </w:r>
          </w:p>
        </w:tc>
        <w:tc>
          <w:tcPr/>
          <w:p>
            <w:pPr>
              <w:pStyle w:val="Compact"/>
            </w:pPr>
            <w:r>
              <w:t xml:space="preserve">*.pdf/tiff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单代谢物箱线图</w:t>
            </w:r>
          </w:p>
        </w:tc>
      </w:tr>
    </w:tbl>
    <w:bookmarkEnd w:id="20"/>
    <w:bookmarkStart w:id="21" w:name="七图表规格"/>
    <w:p>
      <w:pPr>
        <w:pStyle w:val="Heading1"/>
      </w:pPr>
      <w:r>
        <w:rPr>
          <w:rFonts w:hint="eastAsia"/>
        </w:rPr>
        <w:t xml:space="preserve">七、图表规格</w:t>
      </w:r>
    </w:p>
    <w:p>
      <w:pPr>
        <w:pStyle w:val="FirstParagraph"/>
      </w:pPr>
      <w:r>
        <w:rPr>
          <w:rFonts w:hint="eastAsia"/>
        </w:rPr>
        <w:t xml:space="preserve">所有图表遵循Nature投稿标准：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字体：</w:t>
      </w:r>
      <w:r>
        <w:t xml:space="preserve"> </w:t>
      </w:r>
      <w:r>
        <w:t xml:space="preserve">Arial, 7-9pt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格式：</w:t>
      </w:r>
      <w:r>
        <w:t xml:space="preserve"> </w:t>
      </w:r>
      <w:r>
        <w:rPr>
          <w:rFonts w:hint="eastAsia"/>
        </w:rPr>
        <w:t xml:space="preserve">PDF矢量+TIFF</w:t>
      </w:r>
      <w:r>
        <w:t xml:space="preserve"> </w:t>
      </w:r>
      <w:r>
        <w:rPr>
          <w:rFonts w:hint="eastAsia"/>
        </w:rPr>
        <w:t xml:space="preserve">300DPI双格式输出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配色：</w:t>
      </w:r>
      <w:r>
        <w:t xml:space="preserve"> </w:t>
      </w:r>
      <w:r>
        <w:rPr>
          <w:rFonts w:hint="eastAsia"/>
        </w:rPr>
        <w:t xml:space="preserve">NPG配色（Nature</w:t>
      </w:r>
      <w:r>
        <w:t xml:space="preserve"> Publishing </w:t>
      </w:r>
      <w:r>
        <w:rPr>
          <w:rFonts w:hint="eastAsia"/>
        </w:rPr>
        <w:t xml:space="preserve">Group标准）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火山图：</w:t>
      </w:r>
      <w:r>
        <w:t xml:space="preserve"> </w:t>
      </w:r>
      <w:r>
        <w:rPr>
          <w:rFonts w:hint="eastAsia"/>
        </w:rPr>
        <w:t xml:space="preserve">蓝(#3C5488)下调,</w:t>
      </w:r>
      <w:r>
        <w:t xml:space="preserve"> </w:t>
      </w:r>
      <w:r>
        <w:rPr>
          <w:rFonts w:hint="eastAsia"/>
        </w:rPr>
        <w:t xml:space="preserve">灰不显著,</w:t>
      </w:r>
      <w:r>
        <w:t xml:space="preserve"> </w:t>
      </w:r>
      <w:r>
        <w:rPr>
          <w:rFonts w:hint="eastAsia"/>
        </w:rPr>
        <w:t xml:space="preserve">红(#E64B35)上调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热图：</w:t>
      </w:r>
      <w:r>
        <w:t xml:space="preserve"> </w:t>
      </w:r>
      <w:r>
        <w:rPr>
          <w:rFonts w:hint="eastAsia"/>
        </w:rPr>
        <w:t xml:space="preserve">深蓝→白→深红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气泡图：</w:t>
      </w:r>
      <w:r>
        <w:t xml:space="preserve"> </w:t>
      </w:r>
      <w:r>
        <w:rPr>
          <w:rFonts w:hint="eastAsia"/>
        </w:rPr>
        <w:t xml:space="preserve">黄→绿→蓝→紫(Viridis渐变)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尺寸：</w:t>
      </w:r>
      <w:r>
        <w:t xml:space="preserve"> </w:t>
      </w:r>
      <w:r>
        <w:rPr>
          <w:rFonts w:hint="eastAsia"/>
        </w:rPr>
        <w:t xml:space="preserve">单栏5×5in,</w:t>
      </w:r>
      <w:r>
        <w:t xml:space="preserve"> </w:t>
      </w:r>
      <w:r>
        <w:rPr>
          <w:rFonts w:hint="eastAsia"/>
        </w:rPr>
        <w:t xml:space="preserve">双栏7×5in</w:t>
      </w:r>
    </w:p>
    <w:bookmarkEnd w:id="21"/>
    <w:bookmarkStart w:id="27" w:name="八常见问题"/>
    <w:p>
      <w:pPr>
        <w:pStyle w:val="Heading1"/>
      </w:pPr>
      <w:r>
        <w:rPr>
          <w:rFonts w:hint="eastAsia"/>
        </w:rPr>
        <w:t xml:space="preserve">八、常见问题</w:t>
      </w:r>
    </w:p>
    <w:bookmarkStart w:id="22" w:name="q1-metaboanalystr安装失败"/>
    <w:p>
      <w:pPr>
        <w:pStyle w:val="Heading2"/>
      </w:pPr>
      <w:r>
        <w:t xml:space="preserve">Q1: </w:t>
      </w:r>
      <w:r>
        <w:rPr>
          <w:rFonts w:hint="eastAsia"/>
        </w:rPr>
        <w:t xml:space="preserve">MetaboAnalystR安装失败？</w:t>
      </w:r>
    </w:p>
    <w:p>
      <w:pPr>
        <w:pStyle w:val="FirstParagraph"/>
      </w:pPr>
      <w:r>
        <w:rPr>
          <w:rFonts w:hint="eastAsia"/>
        </w:rPr>
        <w:t xml:space="preserve">先手动安装报错的Bioconductor包，再重装MetaboAnalystR。安装失败不影响WF1正常运行。</w:t>
      </w:r>
    </w:p>
    <w:bookmarkEnd w:id="22"/>
    <w:bookmarkStart w:id="23" w:name="q2-差异代谢物数量为0"/>
    <w:p>
      <w:pPr>
        <w:pStyle w:val="Heading2"/>
      </w:pPr>
      <w:r>
        <w:t xml:space="preserve">Q2: </w:t>
      </w:r>
      <w:r>
        <w:rPr>
          <w:rFonts w:hint="eastAsia"/>
        </w:rPr>
        <w:t xml:space="preserve">差异代谢物数量为0？</w:t>
      </w:r>
    </w:p>
    <w:p>
      <w:pPr>
        <w:pStyle w:val="FirstParagraph"/>
      </w:pPr>
      <w:r>
        <w:rPr>
          <w:rFonts w:hint="eastAsia"/>
        </w:rPr>
        <w:t xml:space="preserve">逐步放宽：(1)</w:t>
      </w:r>
      <w:r>
        <w:t xml:space="preserve"> </w:t>
      </w:r>
      <w:r>
        <w:rPr>
          <w:rFonts w:hint="eastAsia"/>
        </w:rPr>
        <w:t xml:space="preserve">LOGFC_CUTOFF降到0.079；(2)</w:t>
      </w:r>
      <w:r>
        <w:t xml:space="preserve"> </w:t>
      </w:r>
      <w:r>
        <w:rPr>
          <w:rFonts w:hint="eastAsia"/>
        </w:rPr>
        <w:t xml:space="preserve">ALPHA放宽到0.1；(3)</w:t>
      </w:r>
      <w:r>
        <w:t xml:space="preserve"> </w:t>
      </w:r>
      <w:r>
        <w:rPr>
          <w:rFonts w:hint="eastAsia"/>
        </w:rPr>
        <w:t xml:space="preserve">检查PCA是否分组分离。</w:t>
      </w:r>
    </w:p>
    <w:bookmarkEnd w:id="23"/>
    <w:bookmarkStart w:id="24" w:name="q3-通路分析adj.p.val全大于0.05"/>
    <w:p>
      <w:pPr>
        <w:pStyle w:val="Heading2"/>
      </w:pPr>
      <w:r>
        <w:t xml:space="preserve">Q3: </w:t>
      </w:r>
      <w:r>
        <w:rPr>
          <w:rFonts w:hint="eastAsia"/>
        </w:rPr>
        <w:t xml:space="preserve">通路分析adj.P.Val全大于0.05？</w:t>
      </w:r>
    </w:p>
    <w:p>
      <w:pPr>
        <w:pStyle w:val="FirstParagraph"/>
      </w:pPr>
      <w:r>
        <w:rPr>
          <w:rFonts w:hint="eastAsia"/>
        </w:rPr>
        <w:t xml:space="preserve">差异代谢物不足20个时常见。可用raw</w:t>
      </w:r>
      <w:r>
        <w:t xml:space="preserve"> </w:t>
      </w:r>
      <w:r>
        <w:rPr>
          <w:rFonts w:hint="eastAsia"/>
        </w:rPr>
        <w:t xml:space="preserve">p_value初步探索（文章中标注），对比四个工作流的一致性，增加样本量是根本方案。</w:t>
      </w:r>
    </w:p>
    <w:bookmarkEnd w:id="24"/>
    <w:bookmarkStart w:id="25" w:name="q4-四个工作流结果不一致"/>
    <w:p>
      <w:pPr>
        <w:pStyle w:val="Heading2"/>
      </w:pPr>
      <w:r>
        <w:t xml:space="preserve">Q4: </w:t>
      </w:r>
      <w:r>
        <w:rPr>
          <w:rFonts w:hint="eastAsia"/>
        </w:rPr>
        <w:t xml:space="preserve">四个工作流结果不一致？</w:t>
      </w:r>
    </w:p>
    <w:p>
      <w:pPr>
        <w:pStyle w:val="FirstParagraph"/>
      </w:pPr>
      <w:r>
        <w:rPr>
          <w:rFonts w:hint="eastAsia"/>
        </w:rPr>
        <w:t xml:space="preserve">正常——ORA和QEA使用的统计方法本质不同。多个工作流都显著的通路最可信；仅一个显著需谨慎；WF3的高Impact+低p值通路最值得关注；WF4（QEA）的结果尤其有价值，因为它利用了完整的定量数据。</w:t>
      </w:r>
    </w:p>
    <w:bookmarkEnd w:id="25"/>
    <w:bookmarkStart w:id="26" w:name="q5-wf1-3和wf4有什么区别"/>
    <w:p>
      <w:pPr>
        <w:pStyle w:val="Heading2"/>
      </w:pPr>
      <w:r>
        <w:t xml:space="preserve">Q5: </w:t>
      </w:r>
      <w:r>
        <w:rPr>
          <w:rFonts w:hint="eastAsia"/>
        </w:rPr>
        <w:t xml:space="preserve">WF1-3和WF4有什么区别？</w:t>
      </w:r>
    </w:p>
    <w:p>
      <w:pPr>
        <w:pStyle w:val="FirstParagraph"/>
      </w:pPr>
      <w:r>
        <w:rPr>
          <w:rFonts w:hint="eastAsia"/>
        </w:rPr>
        <w:t xml:space="preserve">WF1-3使用ORA方法：先用limma筛出差异代谢物，再检验它们在通路中是否富集。WF4使用QEA方法：直接将完整浓度矩阵送入GlobalTest算法，因使用了全部定量信息（而非”有/无”二分类），统计效力更高。两类方法互补，交叉验证可得到最稳健的通路结论。</w:t>
      </w:r>
    </w:p>
    <w:bookmarkEnd w:id="26"/>
    <w:bookmarkEnd w:id="27"/>
    <w:bookmarkStart w:id="28" w:name="九引用"/>
    <w:p>
      <w:pPr>
        <w:pStyle w:val="Heading1"/>
      </w:pPr>
      <w:r>
        <w:rPr>
          <w:rFonts w:hint="eastAsia"/>
        </w:rPr>
        <w:t xml:space="preserve">九、引用</w:t>
      </w:r>
    </w:p>
    <w:p>
      <w:pPr>
        <w:pStyle w:val="Compact"/>
        <w:numPr>
          <w:ilvl w:val="0"/>
          <w:numId w:val="1004"/>
        </w:numPr>
      </w:pPr>
      <w:r>
        <w:t xml:space="preserve">tidymass: Shen X, et al. </w:t>
      </w:r>
      <w:r>
        <w:rPr>
          <w:i/>
          <w:iCs/>
        </w:rPr>
        <w:t xml:space="preserve">TidyMass an object-oriented reproducible analysis framework for LC-MS data.</w:t>
      </w:r>
      <w:r>
        <w:t xml:space="preserve"> </w:t>
      </w:r>
      <w:r>
        <w:t xml:space="preserve">Nature Communications, 2022.</w:t>
      </w:r>
    </w:p>
    <w:p>
      <w:pPr>
        <w:pStyle w:val="Compact"/>
        <w:numPr>
          <w:ilvl w:val="0"/>
          <w:numId w:val="1004"/>
        </w:numPr>
      </w:pPr>
      <w:r>
        <w:t xml:space="preserve">MetaboAnalystR: Pang Z, et al. </w:t>
      </w:r>
      <w:r>
        <w:rPr>
          <w:i/>
          <w:iCs/>
        </w:rPr>
        <w:t xml:space="preserve">MetaboAnalystR 3.0.</w:t>
      </w:r>
      <w:r>
        <w:t xml:space="preserve"> </w:t>
      </w:r>
      <w:r>
        <w:t xml:space="preserve">Metabolites, 2020.</w:t>
      </w:r>
    </w:p>
    <w:p>
      <w:pPr>
        <w:pStyle w:val="Compact"/>
        <w:numPr>
          <w:ilvl w:val="0"/>
          <w:numId w:val="1004"/>
        </w:numPr>
      </w:pPr>
      <w:r>
        <w:t xml:space="preserve">limma: Ritchie ME, et al. </w:t>
      </w:r>
      <w:r>
        <w:rPr>
          <w:i/>
          <w:iCs/>
        </w:rPr>
        <w:t xml:space="preserve">limma powers differential expression analyses.</w:t>
      </w:r>
      <w:r>
        <w:t xml:space="preserve"> </w:t>
      </w:r>
      <w:r>
        <w:t xml:space="preserve">Nucleic Acids Research, 2015.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2026-03-13T08:33:45Z</dcterms:created>
  <dcterms:modified xsi:type="dcterms:W3CDTF">2026-03-13T08:33:45Z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