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MetaboFlow v1.0</w:t>
      </w:r>
    </w:p>
    <w:p>
      <w:pPr>
        <w:pStyle w:val="BodyText"/>
      </w:pPr>
      <w:r>
        <w:rPr>
          <w:b/>
          <w:bCs/>
        </w:rPr>
        <w:t xml:space="preserve">Untargeted Metabolomics Quad-Workflow Integrated Pipeline</w:t>
      </w:r>
    </w:p>
    <w:p>
      <w:pPr>
        <w:pStyle w:val="BodyText"/>
      </w:pPr>
      <w:r>
        <w:rPr>
          <w:b/>
          <w:bCs/>
        </w:rPr>
        <w:t xml:space="preserve">User Manual</w:t>
      </w:r>
    </w:p>
    <w:bookmarkStart w:id="10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MetaboFlow is an R-based end-to-end untargeted metabolomics pipeline integrating feature extraction, normalization, differential analysis, annotation, and pathway enrichment. Key feature:</w:t>
      </w:r>
      <w:r>
        <w:t xml:space="preserve"> </w:t>
      </w:r>
      <w:r>
        <w:t xml:space="preserve">“one input, four parallel workflows”</w:t>
      </w:r>
      <w:r>
        <w:t xml:space="preserve"> </w:t>
      </w:r>
      <w:r>
        <w:t xml:space="preserve">— raw mzXML files are processed through four independent pathway analysis engines for cross-validation. Three ORA (Over-Representation Analysis) workflows analyze the list of differential metabolites, and one QEA (Quantitative Enrichment Analysis) workflow directly utilizes the full concentration/intensity matrix for higher statistical power. All figures are rendered to Nature publication standards (NPG palette, Arial font, dual PDF vector + TIFF 300 DPI output).</w:t>
      </w:r>
    </w:p>
    <w:bookmarkStart w:id="9" w:name="four-workflows"/>
    <w:p>
      <w:pPr>
        <w:pStyle w:val="Heading2"/>
      </w:pPr>
      <w:r>
        <w:t xml:space="preserve">1.1 Four Workflows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WF1: SMPDB Enrichment</w:t>
            </w:r>
          </w:p>
        </w:tc>
        <w:tc>
          <w:tcPr/>
          <w:p>
            <w:pPr>
              <w:pStyle w:val="Compact"/>
            </w:pPr>
            <w:r>
              <w:t xml:space="preserve">ORA</w:t>
            </w:r>
          </w:p>
        </w:tc>
        <w:tc>
          <w:tcPr/>
          <w:p>
            <w:pPr>
              <w:pStyle w:val="Compact"/>
            </w:pPr>
            <w:r>
              <w:t xml:space="preserve">tidymass enrich_hmdb</w:t>
            </w:r>
          </w:p>
        </w:tc>
        <w:tc>
          <w:tcPr/>
          <w:p>
            <w:pPr>
              <w:pStyle w:val="Compact"/>
            </w:pPr>
            <w:r>
              <w:t xml:space="preserve">SMPDB/HMDB</w:t>
            </w:r>
          </w:p>
        </w:tc>
        <w:tc>
          <w:tcPr/>
          <w:p>
            <w:pPr>
              <w:pStyle w:val="Compact"/>
            </w:pPr>
            <w:r>
              <w:t xml:space="preserve">HMDB IDs (diff list)</w:t>
            </w:r>
          </w:p>
        </w:tc>
        <w:tc>
          <w:tcPr/>
          <w:p>
            <w:pPr>
              <w:pStyle w:val="Compact"/>
            </w:pPr>
            <w:r>
              <w:t xml:space="preserve">Seamless tidymass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WF2: MSEA</w:t>
            </w:r>
          </w:p>
        </w:tc>
        <w:tc>
          <w:tcPr/>
          <w:p>
            <w:pPr>
              <w:pStyle w:val="Compact"/>
            </w:pPr>
            <w:r>
              <w:t xml:space="preserve">ORA</w:t>
            </w:r>
          </w:p>
        </w:tc>
        <w:tc>
          <w:tcPr/>
          <w:p>
            <w:pPr>
              <w:pStyle w:val="Compact"/>
            </w:pPr>
            <w:r>
              <w:t xml:space="preserve">MetaboAnalystR</w:t>
            </w:r>
          </w:p>
        </w:tc>
        <w:tc>
          <w:tcPr/>
          <w:p>
            <w:pPr>
              <w:pStyle w:val="Compact"/>
            </w:pPr>
            <w:r>
              <w:t xml:space="preserve">SMPDB metabolite sets</w:t>
            </w:r>
          </w:p>
        </w:tc>
        <w:tc>
          <w:tcPr/>
          <w:p>
            <w:pPr>
              <w:pStyle w:val="Compact"/>
            </w:pPr>
            <w:r>
              <w:t xml:space="preserve">HMDB IDs (diff list)</w:t>
            </w:r>
          </w:p>
        </w:tc>
        <w:tc>
          <w:tcPr/>
          <w:p>
            <w:pPr>
              <w:pStyle w:val="Compact"/>
            </w:pPr>
            <w:r>
              <w:t xml:space="preserve">Hypergeometric test, updated 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WF3: KEGG Topology</w:t>
            </w:r>
          </w:p>
        </w:tc>
        <w:tc>
          <w:tcPr/>
          <w:p>
            <w:pPr>
              <w:pStyle w:val="Compact"/>
            </w:pPr>
            <w:r>
              <w:t xml:space="preserve">ORA</w:t>
            </w:r>
          </w:p>
        </w:tc>
        <w:tc>
          <w:tcPr/>
          <w:p>
            <w:pPr>
              <w:pStyle w:val="Compact"/>
            </w:pPr>
            <w:r>
              <w:t xml:space="preserve">MetaboAnalystR</w:t>
            </w:r>
          </w:p>
        </w:tc>
        <w:tc>
          <w:tcPr/>
          <w:p>
            <w:pPr>
              <w:pStyle w:val="Compact"/>
            </w:pPr>
            <w:r>
              <w:t xml:space="preserve">KEGG species-specific</w:t>
            </w:r>
          </w:p>
        </w:tc>
        <w:tc>
          <w:tcPr/>
          <w:p>
            <w:pPr>
              <w:pStyle w:val="Compact"/>
            </w:pPr>
            <w:r>
              <w:t xml:space="preserve">KEGG IDs (diff list)</w:t>
            </w:r>
          </w:p>
        </w:tc>
        <w:tc>
          <w:tcPr/>
          <w:p>
            <w:pPr>
              <w:pStyle w:val="Compact"/>
            </w:pPr>
            <w:r>
              <w:t xml:space="preserve">Pathway Impact topological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WF4: QEA</w:t>
            </w:r>
          </w:p>
        </w:tc>
        <w:tc>
          <w:tcPr/>
          <w:p>
            <w:pPr>
              <w:pStyle w:val="Compact"/>
            </w:pPr>
            <w:r>
              <w:t xml:space="preserve">QEA</w:t>
            </w:r>
          </w:p>
        </w:tc>
        <w:tc>
          <w:tcPr/>
          <w:p>
            <w:pPr>
              <w:pStyle w:val="Compact"/>
            </w:pPr>
            <w:r>
              <w:t xml:space="preserve">MetaboAnalystR</w:t>
            </w:r>
          </w:p>
        </w:tc>
        <w:tc>
          <w:tcPr/>
          <w:p>
            <w:pPr>
              <w:pStyle w:val="Compact"/>
            </w:pPr>
            <w:r>
              <w:t xml:space="preserve">SMPDB pathway</w:t>
            </w:r>
          </w:p>
        </w:tc>
        <w:tc>
          <w:tcPr/>
          <w:p>
            <w:pPr>
              <w:pStyle w:val="Compact"/>
            </w:pPr>
            <w:r>
              <w:t xml:space="preserve">Concentration matrix</w:t>
            </w:r>
          </w:p>
        </w:tc>
        <w:tc>
          <w:tcPr/>
          <w:p>
            <w:pPr>
              <w:pStyle w:val="Compact"/>
            </w:pPr>
            <w:r>
              <w:t xml:space="preserve">Uses full quantitative data, GlobalTest</w:t>
            </w:r>
          </w:p>
        </w:tc>
      </w:tr>
    </w:tbl>
    <w:p>
      <w:pPr>
        <w:pStyle w:val="BodyText"/>
      </w:pPr>
      <w:r>
        <w:rPr>
          <w:b/>
          <w:bCs/>
        </w:rPr>
        <w:t xml:space="preserve">ORA vs QEA: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 (WF1–3):</w:t>
      </w:r>
      <w:r>
        <w:t xml:space="preserve"> </w:t>
      </w:r>
      <w:r>
        <w:t xml:space="preserve">Takes a list of pre-screened differential metabolites and tests for pathway over-representation. Input is a compound ID list.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QEA (WF4):</w:t>
      </w:r>
      <w:r>
        <w:t xml:space="preserve"> </w:t>
      </w:r>
      <w:r>
        <w:t xml:space="preserve">Takes the full concentration/intensity matrix of annotated metabolites with group labels. No pre-screening needed. Uses the GlobalTest algorithm for higher statistical power by leveraging quantitative information.</w:t>
      </w:r>
    </w:p>
    <w:p>
      <w:pPr>
        <w:pStyle w:val="FirstParagraph"/>
      </w:pPr>
      <w:r>
        <w:t xml:space="preserve">Cross-validating ORA and QEA results provides the most robust pathway conclusions.</w:t>
      </w:r>
    </w:p>
    <w:bookmarkEnd w:id="9"/>
    <w:bookmarkEnd w:id="10"/>
    <w:bookmarkStart w:id="11" w:name="system-requirements"/>
    <w:p>
      <w:pPr>
        <w:pStyle w:val="Heading1"/>
      </w:pPr>
      <w:r>
        <w:t xml:space="preserve">2. System Requirements</w:t>
      </w:r>
    </w:p>
    <w:p>
      <w:pPr>
        <w:pStyle w:val="Compact"/>
        <w:numPr>
          <w:ilvl w:val="0"/>
          <w:numId w:val="1002"/>
        </w:numPr>
      </w:pPr>
      <w:r>
        <w:t xml:space="preserve">R &gt;= 4.2.0</w:t>
      </w:r>
    </w:p>
    <w:p>
      <w:pPr>
        <w:pStyle w:val="Compact"/>
        <w:numPr>
          <w:ilvl w:val="0"/>
          <w:numId w:val="1002"/>
        </w:numPr>
      </w:pPr>
      <w:r>
        <w:t xml:space="preserve">OS: Windows 10/11, macOS, Linux</w:t>
      </w:r>
    </w:p>
    <w:p>
      <w:pPr>
        <w:pStyle w:val="Compact"/>
        <w:numPr>
          <w:ilvl w:val="0"/>
          <w:numId w:val="1002"/>
        </w:numPr>
      </w:pPr>
      <w:r>
        <w:t xml:space="preserve">RAM: &gt;= 8 GB (16 GB for large datasets)</w:t>
      </w:r>
    </w:p>
    <w:p>
      <w:pPr>
        <w:pStyle w:val="Compact"/>
        <w:numPr>
          <w:ilvl w:val="0"/>
          <w:numId w:val="1002"/>
        </w:numPr>
      </w:pPr>
      <w:r>
        <w:t xml:space="preserve">Disk: &gt;= 2 GB free</w:t>
      </w:r>
    </w:p>
    <w:p>
      <w:pPr>
        <w:pStyle w:val="Compact"/>
        <w:numPr>
          <w:ilvl w:val="0"/>
          <w:numId w:val="1002"/>
        </w:numPr>
      </w:pPr>
      <w:r>
        <w:t xml:space="preserve">Network: required for first-run installation</w:t>
      </w:r>
    </w:p>
    <w:bookmarkEnd w:id="11"/>
    <w:bookmarkStart w:id="14" w:name="input-data"/>
    <w:p>
      <w:pPr>
        <w:pStyle w:val="Heading1"/>
      </w:pPr>
      <w:r>
        <w:t xml:space="preserve">3. Input Data</w:t>
      </w:r>
    </w:p>
    <w:bookmarkStart w:id="12" w:name="raw-data"/>
    <w:p>
      <w:pPr>
        <w:pStyle w:val="Heading2"/>
      </w:pPr>
      <w:r>
        <w:t xml:space="preserve">3.1 Raw Data</w:t>
      </w:r>
    </w:p>
    <w:p>
      <w:pPr>
        <w:pStyle w:val="FirstParagraph"/>
      </w:pPr>
      <w:r>
        <w:t xml:space="preserve">Place .mzXML files in one directory. Naming: [GroupName][Number].mzXML. E.g.: control1.mzXML, MethiocarbA1.mzXML. Groups are auto-detected by stripping trailing digits from filenames.</w:t>
      </w:r>
    </w:p>
    <w:p>
      <w:pPr>
        <w:pStyle w:val="BodyText"/>
      </w:pPr>
      <w:r>
        <w:rPr>
          <w:i/>
          <w:iCs/>
        </w:rPr>
        <w:t xml:space="preserve">Important: Group names must NOT contain digits. Do not use names like</w:t>
      </w:r>
      <w:r>
        <w:rPr>
          <w:i/>
          <w:iCs/>
        </w:rPr>
        <w:t xml:space="preserve"> </w:t>
      </w:r>
      <w:r>
        <w:rPr>
          <w:i/>
          <w:iCs/>
        </w:rPr>
        <w:t xml:space="preserve">“Dose10mg1.mzXML”</w:t>
      </w:r>
      <w:r>
        <w:rPr>
          <w:i/>
          <w:iCs/>
        </w:rPr>
        <w:t xml:space="preserve">.</w:t>
      </w:r>
    </w:p>
    <w:bookmarkEnd w:id="12"/>
    <w:bookmarkStart w:id="13" w:name="databases"/>
    <w:p>
      <w:pPr>
        <w:pStyle w:val="Heading2"/>
      </w:pPr>
      <w:r>
        <w:t xml:space="preserve">3.2 Databases</w:t>
      </w:r>
    </w:p>
    <w:p>
      <w:pPr>
        <w:pStyle w:val="FirstParagraph"/>
      </w:pPr>
      <w:r>
        <w:t xml:space="preserve">Place these .rda files in DB_DIR: inhouse_Metabolite.database (with RT), hmdb_ms2_merged.rda, massbank_ms2_merged.rda, mona_ms2_merged.rda, orbitrap_database0.0.3.rda.</w:t>
      </w:r>
    </w:p>
    <w:bookmarkEnd w:id="13"/>
    <w:bookmarkEnd w:id="14"/>
    <w:bookmarkStart w:id="15" w:name="parameters"/>
    <w:p>
      <w:pPr>
        <w:pStyle w:val="Heading1"/>
      </w:pPr>
      <w:r>
        <w:t xml:space="preserve">4.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WORK_DIR</w:t>
            </w:r>
          </w:p>
        </w:tc>
        <w:tc>
          <w:tcPr/>
          <w:p>
            <w:pPr>
              <w:pStyle w:val="Compact"/>
            </w:pPr>
            <w:r>
              <w:t xml:space="preserve">“path/to/your/data”</w:t>
            </w:r>
          </w:p>
        </w:tc>
        <w:tc>
          <w:tcPr/>
          <w:p>
            <w:pPr>
              <w:pStyle w:val="Compact"/>
            </w:pPr>
            <w:r>
              <w:t xml:space="preserve">Data directory</w:t>
            </w:r>
          </w:p>
        </w:tc>
        <w:tc>
          <w:tcPr/>
          <w:p>
            <w:pPr>
              <w:pStyle w:val="Compact"/>
            </w:pPr>
            <w:r>
              <w:t xml:space="preserve">Set to actual path; use forward slashes on all 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POLARITY</w:t>
            </w:r>
          </w:p>
        </w:tc>
        <w:tc>
          <w:tcPr/>
          <w:p>
            <w:pPr>
              <w:pStyle w:val="Compact"/>
            </w:pPr>
            <w:r>
              <w:t xml:space="preserve">“positive”</w:t>
            </w:r>
          </w:p>
        </w:tc>
        <w:tc>
          <w:tcPr/>
          <w:p>
            <w:pPr>
              <w:pStyle w:val="Compact"/>
            </w:pPr>
            <w:r>
              <w:t xml:space="preserve">Ionization polarity</w:t>
            </w:r>
          </w:p>
        </w:tc>
        <w:tc>
          <w:tcPr/>
          <w:p>
            <w:pPr>
              <w:pStyle w:val="Compact"/>
            </w:pPr>
            <w:r>
              <w:t xml:space="preserve">positive or negative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LOGFC_CUTOFF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  <w:tc>
          <w:tcPr/>
          <w:p>
            <w:pPr>
              <w:pStyle w:val="Compact"/>
            </w:pPr>
            <w:r>
              <w:t xml:space="preserve">log10 FC threshold</w:t>
            </w:r>
          </w:p>
        </w:tc>
        <w:tc>
          <w:tcPr/>
          <w:p>
            <w:pPr>
              <w:pStyle w:val="Compact"/>
            </w:pPr>
            <w:r>
              <w:t xml:space="preserve">0.176(1.5x) or 0.301(2x)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FDR threshold</w:t>
            </w:r>
          </w:p>
        </w:tc>
        <w:tc>
          <w:tcPr/>
          <w:p>
            <w:pPr>
              <w:pStyle w:val="Compact"/>
            </w:pPr>
            <w:r>
              <w:t xml:space="preserve">Relax to 0.1 if &lt;10 hits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ORGANISM</w:t>
            </w:r>
          </w:p>
        </w:tc>
        <w:tc>
          <w:tcPr/>
          <w:p>
            <w:pPr>
              <w:pStyle w:val="Compact"/>
            </w:pPr>
            <w:r>
              <w:t xml:space="preserve">“dre”</w:t>
            </w:r>
          </w:p>
        </w:tc>
        <w:tc>
          <w:tcPr/>
          <w:p>
            <w:pPr>
              <w:pStyle w:val="Compact"/>
            </w:pPr>
            <w:r>
              <w:t xml:space="preserve">Species code</w:t>
            </w:r>
          </w:p>
        </w:tc>
        <w:tc>
          <w:tcPr/>
          <w:p>
            <w:pPr>
              <w:pStyle w:val="Compact"/>
            </w:pPr>
            <w:r>
              <w:t xml:space="preserve">dre=zebrafish, hsa=human, mmu=mouse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MS1_PPM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MS1 tolerance (ppm)</w:t>
            </w:r>
          </w:p>
        </w:tc>
        <w:tc>
          <w:tcPr/>
          <w:p>
            <w:pPr>
              <w:pStyle w:val="Compact"/>
            </w:pPr>
            <w:r>
              <w:t xml:space="preserve">Orbitrap:5-15, QTOF:15-30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PEAK_WIDTH</w:t>
            </w:r>
          </w:p>
        </w:tc>
        <w:tc>
          <w:tcPr/>
          <w:p>
            <w:pPr>
              <w:pStyle w:val="Compact"/>
            </w:pPr>
            <w:r>
              <w:t xml:space="preserve">c(5,30)</w:t>
            </w:r>
          </w:p>
        </w:tc>
        <w:tc>
          <w:tcPr/>
          <w:p>
            <w:pPr>
              <w:pStyle w:val="Compact"/>
            </w:pPr>
            <w:r>
              <w:t xml:space="preserve">Peak width (sec)</w:t>
            </w:r>
          </w:p>
        </w:tc>
        <w:tc>
          <w:tcPr/>
          <w:p>
            <w:pPr>
              <w:pStyle w:val="Compact"/>
            </w:pPr>
            <w:r>
              <w:t xml:space="preserve">Narrow:c(3,15), Wide:c(10,60)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SN_THRESH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S/N threshold</w:t>
            </w:r>
          </w:p>
        </w:tc>
        <w:tc>
          <w:tcPr/>
          <w:p>
            <w:pPr>
              <w:pStyle w:val="Compact"/>
            </w:pPr>
            <w:r>
              <w:t xml:space="preserve">Higher=fewer false peaks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NOISE_LEVEL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Noise level</w:t>
            </w:r>
          </w:p>
        </w:tc>
        <w:tc>
          <w:tcPr/>
          <w:p>
            <w:pPr>
              <w:pStyle w:val="Compact"/>
            </w:pPr>
            <w:r>
              <w:t xml:space="preserve">Adjust to instrument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MIN_FRACTION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Min detection fraction</w:t>
            </w:r>
          </w:p>
        </w:tc>
        <w:tc>
          <w:tcPr/>
          <w:p>
            <w:pPr>
              <w:pStyle w:val="Compact"/>
            </w:pPr>
            <w:r>
              <w:t xml:space="preserve">0.5=50% samples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N_THREADS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Parallel threads</w:t>
            </w:r>
          </w:p>
        </w:tc>
        <w:tc>
          <w:tcPr/>
          <w:p>
            <w:pPr>
              <w:pStyle w:val="Compact"/>
            </w:pPr>
            <w:r>
              <w:t xml:space="preserve">~80% of CPU 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INTENSITY_FLOOR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Min intensity</w:t>
            </w:r>
          </w:p>
        </w:tc>
        <w:tc>
          <w:tcPr/>
          <w:p>
            <w:pPr>
              <w:pStyle w:val="Compact"/>
            </w:pPr>
            <w:r>
              <w:t xml:space="preserve">Features below are filtered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NORM_METHOD</w:t>
            </w:r>
          </w:p>
        </w:tc>
        <w:tc>
          <w:tcPr/>
          <w:p>
            <w:pPr>
              <w:pStyle w:val="Compact"/>
            </w:pPr>
            <w:r>
              <w:t xml:space="preserve">“median”</w:t>
            </w:r>
          </w:p>
        </w:tc>
        <w:tc>
          <w:tcPr/>
          <w:p>
            <w:pPr>
              <w:pStyle w:val="Compact"/>
            </w:pPr>
            <w:r>
              <w:t xml:space="preserve">Normalization</w:t>
            </w:r>
          </w:p>
        </w:tc>
        <w:tc>
          <w:tcPr/>
          <w:p>
            <w:pPr>
              <w:pStyle w:val="Compact"/>
            </w:pPr>
            <w:r>
              <w:t xml:space="preserve">median, mean, pqn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CONTROL_GROUP</w:t>
            </w:r>
          </w:p>
        </w:tc>
        <w:tc>
          <w:tcPr/>
          <w:p>
            <w:pPr>
              <w:pStyle w:val="Compact"/>
            </w:pPr>
            <w:r>
              <w:t xml:space="preserve">“control”</w:t>
            </w:r>
          </w:p>
        </w:tc>
        <w:tc>
          <w:tcPr/>
          <w:p>
            <w:pPr>
              <w:pStyle w:val="Compact"/>
            </w:pPr>
            <w:r>
              <w:t xml:space="preserve">Control group name</w:t>
            </w:r>
          </w:p>
        </w:tc>
        <w:tc>
          <w:tcPr/>
          <w:p>
            <w:pPr>
              <w:pStyle w:val="Compact"/>
            </w:pPr>
            <w:r>
              <w:t xml:space="preserve">Must match the filename prefix of your control samples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MODEL_GROUP</w:t>
            </w:r>
          </w:p>
        </w:tc>
        <w:tc>
          <w:tcPr/>
          <w:p>
            <w:pPr>
              <w:pStyle w:val="Compact"/>
            </w:pPr>
            <w:r>
              <w:t xml:space="preserve">“MethiocarbA”</w:t>
            </w:r>
          </w:p>
        </w:tc>
        <w:tc>
          <w:tcPr/>
          <w:p>
            <w:pPr>
              <w:pStyle w:val="Compact"/>
            </w:pPr>
            <w:r>
              <w:t xml:space="preserve">Model/treatment group name</w:t>
            </w:r>
          </w:p>
        </w:tc>
        <w:tc>
          <w:tcPr/>
          <w:p>
            <w:pPr>
              <w:pStyle w:val="Compact"/>
            </w:pPr>
            <w:r>
              <w:t xml:space="preserve">Must match the filename prefix of your model samples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DB_DIR</w:t>
            </w:r>
          </w:p>
        </w:tc>
        <w:tc>
          <w:tcPr/>
          <w:p>
            <w:pPr>
              <w:pStyle w:val="Compact"/>
            </w:pPr>
            <w:r>
              <w:t xml:space="preserve">“path/to/your/inhouse_database”</w:t>
            </w:r>
          </w:p>
        </w:tc>
        <w:tc>
          <w:tcPr/>
          <w:p>
            <w:pPr>
              <w:pStyle w:val="Compact"/>
            </w:pPr>
            <w:r>
              <w:t xml:space="preserve">Database directory</w:t>
            </w:r>
          </w:p>
        </w:tc>
        <w:tc>
          <w:tcPr/>
          <w:p>
            <w:pPr>
              <w:pStyle w:val="Compact"/>
            </w:pPr>
            <w:r>
              <w:t xml:space="preserve">Use forward slashes or file.path() for cross-platform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on CONTROL_GROUP and MODEL_GROUP:</w:t>
      </w:r>
      <w:r>
        <w:t xml:space="preserve"> </w:t>
      </w:r>
      <w:r>
        <w:t xml:space="preserve">These must exactly match the group names derived from your filenames (after stripping trailing digits). For example, if your files are named</w:t>
      </w:r>
      <w:r>
        <w:t xml:space="preserve"> </w:t>
      </w:r>
      <w:r>
        <w:t xml:space="preserve">“control1.mzXML”</w:t>
      </w:r>
      <w:r>
        <w:t xml:space="preserve">,</w:t>
      </w:r>
      <w:r>
        <w:t xml:space="preserve"> </w:t>
      </w:r>
      <w:r>
        <w:t xml:space="preserve">“control2.mzXML”</w:t>
      </w:r>
      <w:r>
        <w:t xml:space="preserve">,</w:t>
      </w:r>
      <w:r>
        <w:t xml:space="preserve"> </w:t>
      </w:r>
      <w:r>
        <w:t xml:space="preserve">“DrugA1.mzXML”</w:t>
      </w:r>
      <w:r>
        <w:t xml:space="preserve">,</w:t>
      </w:r>
      <w:r>
        <w:t xml:space="preserve"> </w:t>
      </w:r>
      <w:r>
        <w:t xml:space="preserve">“DrugA2.mzXML”</w:t>
      </w:r>
      <w:r>
        <w:t xml:space="preserve">, set CONTROL_GROUP to</w:t>
      </w:r>
      <w:r>
        <w:t xml:space="preserve"> </w:t>
      </w:r>
      <w:r>
        <w:t xml:space="preserve">“control”</w:t>
      </w:r>
      <w:r>
        <w:t xml:space="preserve"> </w:t>
      </w:r>
      <w:r>
        <w:t xml:space="preserve">and MODEL_GROUP to</w:t>
      </w:r>
      <w:r>
        <w:t xml:space="preserve"> </w:t>
      </w:r>
      <w:r>
        <w:t xml:space="preserve">“DrugA”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Cross-platform path note:</w:t>
      </w:r>
      <w:r>
        <w:t xml:space="preserve"> </w:t>
      </w:r>
      <w:r>
        <w:t xml:space="preserve">Use forward slashes (/) in all paths on all operating systems. R handles forward slashes correctly on Windows, macOS, and Linux.</w:t>
      </w:r>
    </w:p>
    <w:bookmarkEnd w:id="15"/>
    <w:bookmarkStart w:id="19" w:name="parameter-effects"/>
    <w:p>
      <w:pPr>
        <w:pStyle w:val="Heading1"/>
      </w:pPr>
      <w:r>
        <w:t xml:space="preserve">5. Parameter Effects</w:t>
      </w:r>
    </w:p>
    <w:bookmarkStart w:id="16" w:name="logfc_cutoff-most-critical"/>
    <w:p>
      <w:pPr>
        <w:pStyle w:val="Heading2"/>
      </w:pPr>
      <w:r>
        <w:t xml:space="preserve">5.1 LOGFC_CUTOFF (Most Critical)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logFC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0.079</w:t>
            </w:r>
          </w:p>
        </w:tc>
        <w:tc>
          <w:tcPr/>
          <w:p>
            <w:pPr>
              <w:pStyle w:val="Compact"/>
            </w:pPr>
            <w:r>
              <w:t xml:space="preserve">1.2x</w:t>
            </w:r>
          </w:p>
        </w:tc>
        <w:tc>
          <w:tcPr/>
          <w:p>
            <w:pPr>
              <w:pStyle w:val="Compact"/>
            </w:pPr>
            <w:r>
              <w:t xml:space="preserve">Too lenient, technical noise, high FPR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0.176</w:t>
            </w:r>
          </w:p>
        </w:tc>
        <w:tc>
          <w:tcPr/>
          <w:p>
            <w:pPr>
              <w:pStyle w:val="Compact"/>
            </w:pPr>
            <w:r>
              <w:t xml:space="preserve">1.5x</w:t>
            </w:r>
          </w:p>
        </w:tc>
        <w:tc>
          <w:tcPr/>
          <w:p>
            <w:pPr>
              <w:pStyle w:val="Compact"/>
            </w:pPr>
            <w:r>
              <w:t xml:space="preserve">Recommended, balanced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0.301</w:t>
            </w:r>
          </w:p>
        </w:tc>
        <w:tc>
          <w:tcPr/>
          <w:p>
            <w:pPr>
              <w:pStyle w:val="Compact"/>
            </w:pPr>
            <w:r>
              <w:t xml:space="preserve">2.0x</w:t>
            </w:r>
          </w:p>
        </w:tc>
        <w:tc>
          <w:tcPr/>
          <w:p>
            <w:pPr>
              <w:pStyle w:val="Compact"/>
            </w:pPr>
            <w:r>
              <w:t xml:space="preserve">Strict, for strong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0.477</w:t>
            </w:r>
          </w:p>
        </w:tc>
        <w:tc>
          <w:tcPr/>
          <w:p>
            <w:pPr>
              <w:pStyle w:val="Compact"/>
            </w:pPr>
            <w:r>
              <w:t xml:space="preserve">3.0x</w:t>
            </w:r>
          </w:p>
        </w:tc>
        <w:tc>
          <w:tcPr/>
          <w:p>
            <w:pPr>
              <w:pStyle w:val="Compact"/>
            </w:pPr>
            <w:r>
              <w:t xml:space="preserve">Very strict, dramatic changes only</w:t>
            </w:r>
          </w:p>
        </w:tc>
      </w:tr>
    </w:tbl>
    <w:bookmarkEnd w:id="16"/>
    <w:bookmarkStart w:id="17" w:name="alpha"/>
    <w:p>
      <w:pPr>
        <w:pStyle w:val="Heading2"/>
      </w:pPr>
      <w:r>
        <w:t xml:space="preserve">5.2 ALPHA</w:t>
      </w:r>
    </w:p>
    <w:p>
      <w:pPr>
        <w:pStyle w:val="FirstParagraph"/>
      </w:pPr>
      <w:r>
        <w:t xml:space="preserve">FDR-adjusted. &lt;10 hits: relax to 0.1. &gt;500 hits: tighten to 0.01.</w:t>
      </w:r>
    </w:p>
    <w:bookmarkEnd w:id="17"/>
    <w:bookmarkStart w:id="18" w:name="organism"/>
    <w:p>
      <w:pPr>
        <w:pStyle w:val="Heading2"/>
      </w:pPr>
      <w:r>
        <w:t xml:space="preserve">5.3 ORGANISM</w:t>
      </w:r>
    </w:p>
    <w:p>
      <w:pPr>
        <w:pStyle w:val="FirstParagraph"/>
      </w:pPr>
      <w:r>
        <w:t xml:space="preserve">Affects WF3 only. Codes: hsa(human), mmu(mouse), rno(rat), dre(zebrafish), dme(fly), cel(worm).</w:t>
      </w:r>
    </w:p>
    <w:bookmarkEnd w:id="18"/>
    <w:bookmarkEnd w:id="19"/>
    <w:bookmarkStart w:id="20" w:name="output-files"/>
    <w:p>
      <w:pPr>
        <w:pStyle w:val="Heading1"/>
      </w:pPr>
      <w:r>
        <w:t xml:space="preserve">6. Output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PCA_scores.pdf/tiff</w:t>
            </w:r>
          </w:p>
        </w:tc>
        <w:tc>
          <w:tcPr/>
          <w:p>
            <w:pPr>
              <w:pStyle w:val="Compact"/>
            </w:pPr>
            <w:r>
              <w:t xml:space="preserve">PCA scores plot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差异代谢峰/</w:t>
            </w:r>
          </w:p>
        </w:tc>
        <w:tc>
          <w:tcPr/>
          <w:p>
            <w:pPr>
              <w:pStyle w:val="Compact"/>
            </w:pPr>
            <w:r>
              <w:t xml:space="preserve">*_diff.csv + volcano</w:t>
            </w:r>
          </w:p>
        </w:tc>
        <w:tc>
          <w:tcPr/>
          <w:p>
            <w:pPr>
              <w:pStyle w:val="Compact"/>
            </w:pPr>
            <w:r>
              <w:t xml:space="preserve">Differential features + Nature volcano plot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差异代谢物/</w:t>
            </w:r>
          </w:p>
        </w:tc>
        <w:tc>
          <w:tcPr/>
          <w:p>
            <w:pPr>
              <w:pStyle w:val="Compact"/>
            </w:pPr>
            <w:r>
              <w:t xml:space="preserve">smpdb_*</w:t>
            </w:r>
          </w:p>
        </w:tc>
        <w:tc>
          <w:tcPr/>
          <w:p>
            <w:pPr>
              <w:pStyle w:val="Compact"/>
            </w:pPr>
            <w:r>
              <w:t xml:space="preserve">WF1: SMPDB enrichment (ORA)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差异代谢物/</w:t>
            </w:r>
          </w:p>
        </w:tc>
        <w:tc>
          <w:tcPr/>
          <w:p>
            <w:pPr>
              <w:pStyle w:val="Compact"/>
            </w:pPr>
            <w:r>
              <w:t xml:space="preserve">msea_*</w:t>
            </w:r>
          </w:p>
        </w:tc>
        <w:tc>
          <w:tcPr/>
          <w:p>
            <w:pPr>
              <w:pStyle w:val="Compact"/>
            </w:pPr>
            <w:r>
              <w:t xml:space="preserve">WF2: MSEA enrichment (ORA)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差异代谢物/</w:t>
            </w:r>
          </w:p>
        </w:tc>
        <w:tc>
          <w:tcPr/>
          <w:p>
            <w:pPr>
              <w:pStyle w:val="Compact"/>
            </w:pPr>
            <w:r>
              <w:t xml:space="preserve">kegg_* + metabolome_view</w:t>
            </w:r>
          </w:p>
        </w:tc>
        <w:tc>
          <w:tcPr/>
          <w:p>
            <w:pPr>
              <w:pStyle w:val="Compact"/>
            </w:pPr>
            <w:r>
              <w:t xml:space="preserve">WF3: KEGG topology + Impact plot (ORA)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差异代谢物/</w:t>
            </w:r>
          </w:p>
        </w:tc>
        <w:tc>
          <w:tcPr/>
          <w:p>
            <w:pPr>
              <w:pStyle w:val="Compact"/>
            </w:pPr>
            <w:r>
              <w:t xml:space="preserve">qea_*</w:t>
            </w:r>
          </w:p>
        </w:tc>
        <w:tc>
          <w:tcPr/>
          <w:p>
            <w:pPr>
              <w:pStyle w:val="Compact"/>
            </w:pPr>
            <w:r>
              <w:t xml:space="preserve">WF4: Quantitative Enrichment Analysis (QEA)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差异代谢物/</w:t>
            </w:r>
          </w:p>
        </w:tc>
        <w:tc>
          <w:tcPr/>
          <w:p>
            <w:pPr>
              <w:pStyle w:val="Compact"/>
            </w:pPr>
            <w:r>
              <w:t xml:space="preserve">heatmap_*</w:t>
            </w:r>
          </w:p>
        </w:tc>
        <w:tc>
          <w:tcPr/>
          <w:p>
            <w:pPr>
              <w:pStyle w:val="Compact"/>
            </w:pPr>
            <w:r>
              <w:t xml:space="preserve">Heatmap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差异代谢物/</w:t>
            </w:r>
          </w:p>
        </w:tc>
        <w:tc>
          <w:tcPr/>
          <w:p>
            <w:pPr>
              <w:pStyle w:val="Compact"/>
            </w:pPr>
            <w:r>
              <w:t xml:space="preserve">summary_*</w:t>
            </w:r>
          </w:p>
        </w:tc>
        <w:tc>
          <w:tcPr/>
          <w:p>
            <w:pPr>
              <w:pStyle w:val="Compact"/>
            </w:pPr>
            <w:r>
              <w:t xml:space="preserve">Parameter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Boxplot/</w:t>
            </w:r>
          </w:p>
        </w:tc>
        <w:tc>
          <w:tcPr/>
          <w:p>
            <w:pPr>
              <w:pStyle w:val="Compact"/>
            </w:pPr>
            <w:r>
              <w:t xml:space="preserve">*.pdf/tiff</w:t>
            </w:r>
          </w:p>
        </w:tc>
        <w:tc>
          <w:tcPr/>
          <w:p>
            <w:pPr>
              <w:pStyle w:val="Compact"/>
            </w:pPr>
            <w:r>
              <w:t xml:space="preserve">Per-metabolite boxplots</w:t>
            </w:r>
          </w:p>
        </w:tc>
      </w:tr>
    </w:tbl>
    <w:bookmarkEnd w:id="20"/>
    <w:bookmarkStart w:id="21" w:name="figure-specs"/>
    <w:p>
      <w:pPr>
        <w:pStyle w:val="Heading1"/>
      </w:pPr>
      <w:r>
        <w:t xml:space="preserve">7. Figure Specs</w:t>
      </w:r>
    </w:p>
    <w:p>
      <w:pPr>
        <w:pStyle w:val="FirstParagraph"/>
      </w:pPr>
      <w:r>
        <w:t xml:space="preserve">All figures follow Nature submission guidelines: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Font:</w:t>
      </w:r>
      <w:r>
        <w:t xml:space="preserve"> </w:t>
      </w:r>
      <w:r>
        <w:t xml:space="preserve">Arial, 7–9 pt body text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Dual output — PDF (vector) + TIFF (300 DPI, LZW compression)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Colors:</w:t>
      </w:r>
      <w:r>
        <w:t xml:space="preserve"> </w:t>
      </w:r>
      <w:r>
        <w:t xml:space="preserve">NPG palette (Nature Publishing Group)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Volcano:</w:t>
      </w:r>
      <w:r>
        <w:t xml:space="preserve"> </w:t>
      </w:r>
      <w:r>
        <w:t xml:space="preserve">Blue (#3C5488) down, grey NS, red (#E64B35) up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Heatmap:</w:t>
      </w:r>
      <w:r>
        <w:t xml:space="preserve"> </w:t>
      </w:r>
      <w:r>
        <w:t xml:space="preserve">Navy → white → red gradient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Pathway Bubbles:</w:t>
      </w:r>
      <w:r>
        <w:t xml:space="preserve"> </w:t>
      </w:r>
      <w:r>
        <w:t xml:space="preserve">Viridis gradient (yellow → green → blue → purple)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Size:</w:t>
      </w:r>
      <w:r>
        <w:t xml:space="preserve"> </w:t>
      </w:r>
      <w:r>
        <w:t xml:space="preserve">Single-column 5×5 in, double-column 7×5 in</w:t>
      </w:r>
    </w:p>
    <w:bookmarkEnd w:id="21"/>
    <w:bookmarkStart w:id="27" w:name="faq"/>
    <w:p>
      <w:pPr>
        <w:pStyle w:val="Heading1"/>
      </w:pPr>
      <w:r>
        <w:t xml:space="preserve">8. FAQ</w:t>
      </w:r>
    </w:p>
    <w:bookmarkStart w:id="22" w:name="q1-metaboanalystr-install-fails"/>
    <w:p>
      <w:pPr>
        <w:pStyle w:val="Heading2"/>
      </w:pPr>
      <w:r>
        <w:t xml:space="preserve">Q1: MetaboAnalystR install fails?</w:t>
      </w:r>
    </w:p>
    <w:p>
      <w:pPr>
        <w:pStyle w:val="FirstParagraph"/>
      </w:pPr>
      <w:r>
        <w:t xml:space="preserve">Manually install failing Bioconductor packages first. WF1 runs independently without MetaboAnalystR.</w:t>
      </w:r>
    </w:p>
    <w:bookmarkEnd w:id="22"/>
    <w:bookmarkStart w:id="23" w:name="q2-zero-differential-metabolites"/>
    <w:p>
      <w:pPr>
        <w:pStyle w:val="Heading2"/>
      </w:pPr>
      <w:r>
        <w:t xml:space="preserve">Q2: Zero differential metabolites?</w:t>
      </w:r>
    </w:p>
    <w:p>
      <w:pPr>
        <w:pStyle w:val="FirstParagraph"/>
      </w:pPr>
      <w:r>
        <w:t xml:space="preserve">Relax: (1) LOGFC_CUTOFF to 0.079; (2) ALPHA to 0.1; (3) Check PCA separation.</w:t>
      </w:r>
    </w:p>
    <w:bookmarkEnd w:id="23"/>
    <w:bookmarkStart w:id="24" w:name="q3-all-pathway-adj.p-0.05"/>
    <w:p>
      <w:pPr>
        <w:pStyle w:val="Heading2"/>
      </w:pPr>
      <w:r>
        <w:t xml:space="preserve">Q3: All pathway adj.P &gt; 0.05?</w:t>
      </w:r>
    </w:p>
    <w:p>
      <w:pPr>
        <w:pStyle w:val="FirstParagraph"/>
      </w:pPr>
      <w:r>
        <w:t xml:space="preserve">Common with &lt;20 metabolites. Use raw p for exploration (note in paper), compare across 4 WFs, increase sample size.</w:t>
      </w:r>
    </w:p>
    <w:bookmarkEnd w:id="24"/>
    <w:bookmarkStart w:id="25" w:name="q4-inconsistent-across-workflows"/>
    <w:p>
      <w:pPr>
        <w:pStyle w:val="Heading2"/>
      </w:pPr>
      <w:r>
        <w:t xml:space="preserve">Q4: Inconsistent across workflows?</w:t>
      </w:r>
    </w:p>
    <w:p>
      <w:pPr>
        <w:pStyle w:val="FirstParagraph"/>
      </w:pPr>
      <w:r>
        <w:t xml:space="preserve">Expected — ORA and QEA use fundamentally different statistical approaches. Pathways significant in multiple workflows are most reliable. WF3 high-Impact + low-p pathways are priority. WF4 (QEA) results are particularly valuable because they use the full quantitative data.</w:t>
      </w:r>
    </w:p>
    <w:bookmarkEnd w:id="25"/>
    <w:bookmarkStart w:id="26" w:name="X3607b3223f228d034dee7496533cac37392e62c"/>
    <w:p>
      <w:pPr>
        <w:pStyle w:val="Heading2"/>
      </w:pPr>
      <w:r>
        <w:t xml:space="preserve">Q5: What is the difference between WF1–3 and WF4?</w:t>
      </w:r>
    </w:p>
    <w:p>
      <w:pPr>
        <w:pStyle w:val="FirstParagraph"/>
      </w:pPr>
      <w:r>
        <w:t xml:space="preserve">WF1–3 use ORA: first screen differential metabolites (limma), then test if they are enriched in pathways. WF4 uses QEA: it feeds the full concentration matrix directly to the GlobalTest algorithm, which has higher statistical power because it uses all quantitative information rather than a binary hit/miss classification.</w:t>
      </w:r>
    </w:p>
    <w:bookmarkEnd w:id="26"/>
    <w:bookmarkEnd w:id="27"/>
    <w:bookmarkStart w:id="28" w:name="citations"/>
    <w:p>
      <w:pPr>
        <w:pStyle w:val="Heading1"/>
      </w:pPr>
      <w:r>
        <w:t xml:space="preserve">9. Citations</w:t>
      </w:r>
    </w:p>
    <w:p>
      <w:pPr>
        <w:pStyle w:val="Compact"/>
        <w:numPr>
          <w:ilvl w:val="0"/>
          <w:numId w:val="1004"/>
        </w:numPr>
      </w:pPr>
      <w:r>
        <w:t xml:space="preserve">tidymass: Shen X, et al. </w:t>
      </w:r>
      <w:r>
        <w:rPr>
          <w:i/>
          <w:iCs/>
        </w:rPr>
        <w:t xml:space="preserve">TidyMass an object-oriented reproducible analysis framework for LC-MS data.</w:t>
      </w:r>
      <w:r>
        <w:t xml:space="preserve"> </w:t>
      </w:r>
      <w:r>
        <w:t xml:space="preserve">Nature Communications, 2022.</w:t>
      </w:r>
    </w:p>
    <w:p>
      <w:pPr>
        <w:pStyle w:val="Compact"/>
        <w:numPr>
          <w:ilvl w:val="0"/>
          <w:numId w:val="1004"/>
        </w:numPr>
      </w:pPr>
      <w:r>
        <w:t xml:space="preserve">MetaboAnalystR: Pang Z, et al. </w:t>
      </w:r>
      <w:r>
        <w:rPr>
          <w:i/>
          <w:iCs/>
        </w:rPr>
        <w:t xml:space="preserve">MetaboAnalystR 3.0.</w:t>
      </w:r>
      <w:r>
        <w:t xml:space="preserve"> </w:t>
      </w:r>
      <w:r>
        <w:t xml:space="preserve">Metabolites, 2020.</w:t>
      </w:r>
    </w:p>
    <w:p>
      <w:pPr>
        <w:pStyle w:val="Compact"/>
        <w:numPr>
          <w:ilvl w:val="0"/>
          <w:numId w:val="1004"/>
        </w:numPr>
      </w:pPr>
      <w:r>
        <w:t xml:space="preserve">limma: Ritchie ME, et al. </w:t>
      </w:r>
      <w:r>
        <w:rPr>
          <w:i/>
          <w:iCs/>
        </w:rPr>
        <w:t xml:space="preserve">limma powers differential expression analyses.</w:t>
      </w:r>
      <w:r>
        <w:t xml:space="preserve"> </w:t>
      </w:r>
      <w:r>
        <w:t xml:space="preserve">Nucleic Acids Research, 2015.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2026-03-13T08:09:09Z</dcterms:created>
  <dcterms:modified xsi:type="dcterms:W3CDTF">2026-03-13T08:09:09Z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