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B83" w:rsidRPr="00071F6E" w:rsidRDefault="00241B83" w:rsidP="00241B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</w:pPr>
      <w:bookmarkStart w:id="0" w:name="OLE_LINK5"/>
      <w:bookmarkStart w:id="1" w:name="OLE_LINK6"/>
      <w:r w:rsidRPr="00071F6E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>Planning</w:t>
      </w:r>
      <w:r w:rsidR="00767AD7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36"/>
          <w:szCs w:val="36"/>
          <w:lang w:val="en-US" w:eastAsia="ru-RU"/>
        </w:rPr>
        <w:t>Control</w:t>
      </w:r>
    </w:p>
    <w:bookmarkEnd w:id="0"/>
    <w:bookmarkEnd w:id="1"/>
    <w:p w:rsidR="00241B83" w:rsidRPr="00071F6E" w:rsidRDefault="00767AD7" w:rsidP="00767AD7">
      <w:pPr>
        <w:spacing w:after="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404040"/>
          <w:sz w:val="20"/>
          <w:szCs w:val="20"/>
          <w:shd w:val="clear" w:color="auto" w:fill="FFFFFF"/>
          <w:lang w:val="en-US" w:eastAsia="ru-RU"/>
        </w:rPr>
        <w:t xml:space="preserve"> </w:t>
      </w:r>
      <w:bookmarkStart w:id="2" w:name="OLE_LINK1"/>
      <w:bookmarkStart w:id="3" w:name="OLE_LINK2"/>
      <w:bookmarkStart w:id="4" w:name="OLE_LINK9"/>
      <w:bookmarkStart w:id="5" w:name="OLE_LINK10"/>
      <w:proofErr w:type="gramStart"/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planning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based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diagrams</w:t>
      </w:r>
      <w:bookmarkEnd w:id="4"/>
      <w:bookmarkEnd w:id="5"/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It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finds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application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planning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management of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example,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development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large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bookmarkEnd w:id="2"/>
      <w:bookmarkEnd w:id="3"/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industrial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complexes,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scientific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research,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design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setup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work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 bring</w:t>
      </w:r>
      <w:proofErr w:type="gramEnd"/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new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products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into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production,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construction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renovation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projects,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major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repair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work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fixed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capital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stock.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network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permits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establishment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interrelationship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between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planned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obtained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results,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makes possible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more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precise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calculation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plan,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allows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timely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correction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electronic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computers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management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construction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automatic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systems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based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</w:t>
      </w:r>
      <w:r w:rsidRPr="00071F6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en-US" w:eastAsia="ru-RU"/>
        </w:rPr>
        <w:t>see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AUTOMATION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241B83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OFPRODUCTION).</w:t>
      </w:r>
    </w:p>
    <w:p w:rsidR="00241B83" w:rsidRPr="00071F6E" w:rsidRDefault="00241B83" w:rsidP="00241B83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71F6E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2564CC1C" wp14:editId="26F71F3F">
            <wp:extent cx="3242945" cy="1180465"/>
            <wp:effectExtent l="0" t="0" r="0" b="635"/>
            <wp:docPr id="2" name="Рисунок 2" descr="https://img.tfd.com/ggse/d1/gsed_0001_0023_0_img6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tfd.com/ggse/d1/gsed_0001_0023_0_img677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83" w:rsidRPr="00071F6E" w:rsidRDefault="00241B83" w:rsidP="00241B83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Figure</w:t>
      </w:r>
      <w:r w:rsidR="00767AD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en-US" w:eastAsia="ru-RU"/>
        </w:rPr>
        <w:t>1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essence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consists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construction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logic mathematical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model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controlled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system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 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arrow,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(see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Figure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1).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bookmarkStart w:id="6" w:name="_GoBack"/>
      <w:bookmarkEnd w:id="6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Alternatively,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model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memory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electronic computer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model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reflects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interrelationship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certain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</w:t>
      </w:r>
      <w:r w:rsidR="00767AD7" w:rsidRPr="00071F6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en-US" w:eastAsia="ru-RU"/>
        </w:rPr>
        <w:t>see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MATHEMATICAL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MODEL).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After 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optimized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methods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applied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mathematics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computer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engineering,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activities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comprises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Each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represents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beginning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 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must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taken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order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progress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from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next.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symbolized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 circles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shown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arrows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indicating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links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between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(alternatively,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represented 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circles,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links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between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arrows).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must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specific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clearly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defined,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must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assigned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responsible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measured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such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units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days,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weeks,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tens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days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 indicated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above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arrow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estimates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supplied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responsible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 question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lead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event—the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planning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goal.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Established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standards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experimental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data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planning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Often,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however,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 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takes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cannot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expressed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single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reliable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estimate.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case,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particular,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new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products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being brought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production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scientific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investigations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devoted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solving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particular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problems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carried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out.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responsible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usually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supplies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three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estimates: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(1)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optimistic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estimate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(minimum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vertAlign w:val="subscript"/>
          <w:lang w:val="en-US" w:eastAsia="ru-RU"/>
        </w:rPr>
        <w:t>min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),which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minimum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accomplished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under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favorable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conditions;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(2)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pessimistic estimate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(maximum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vertAlign w:val="subscript"/>
          <w:lang w:val="en-US" w:eastAsia="ru-RU"/>
        </w:rPr>
        <w:t>max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under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most unfavorable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conditions;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(3)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likely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</w:t>
      </w:r>
      <w:proofErr w:type="spellStart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vertAlign w:val="subscript"/>
          <w:lang w:val="en-US" w:eastAsia="ru-RU"/>
        </w:rPr>
        <w:t>ml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),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takes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under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normal conditions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expected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determined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basis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three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two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estimates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means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following formulas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: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71F6E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ru-RU"/>
        </w:rPr>
        <w:drawing>
          <wp:inline distT="0" distB="0" distL="0" distR="0" wp14:anchorId="71767BE4" wp14:editId="697BC905">
            <wp:extent cx="1595120" cy="871855"/>
            <wp:effectExtent l="0" t="0" r="5080" b="4445"/>
            <wp:docPr id="1" name="Рисунок 1" descr="https://img.tfd.com/ggse/8e/gsed_0001_0023_0_img6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tfd.com/ggse/8e/gsed_0001_0023_0_img67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important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development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determination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various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 Figure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1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represented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lines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formed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arrows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interrelated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activities;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ends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lines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indicate 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initial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distinction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made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between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originates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initial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ends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with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greatest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duration;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it determines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complete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entire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tivities,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entire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071F6E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-t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 accomplish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goal.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Figure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1,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indicated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heavy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arrows.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important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since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basis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optimal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selected 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monitoring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progress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organized.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ratio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duration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 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indicates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path’s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degree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slack.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Since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longest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from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initial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 event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other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must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located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shorter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English,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concept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 planning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known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method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(CPM).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Improved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forms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also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include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data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material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expenditures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cost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increases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 develops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description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usual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sequence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steps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follows.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broken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down into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separate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successive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stages,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each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assigned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responsible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 accomplish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goal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identified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described.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constructed.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Estimates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made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required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complete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each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lastRenderedPageBreak/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slack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computed.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After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 analyzed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optimized,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measures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developed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reduce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path.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Finally,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progress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carried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out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with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aid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Each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determines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composition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sequence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stage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responsible.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person responsible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compiles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initial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diagrams.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After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corrections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made,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these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joined together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composite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represents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specified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goal.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 composite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constructed,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particular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attention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paid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elimination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discrepancies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points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where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initial 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together—that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points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where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individual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stages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meet.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become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less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detailed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higher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levels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execution.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intended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 enterprises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contain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only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accomplishment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boundary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(which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input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some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enterprises 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output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others)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along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with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times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starting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finishing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critical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zone.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 middle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-level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also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carry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information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accomplishment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dates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boundary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events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for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individual responsible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managers.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model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continually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monitored,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corrected,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adjusted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while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being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carried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out.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eliminate discrepancies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between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planned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actual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progress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organizational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measures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taken (</w:t>
      </w:r>
      <w:r w:rsidR="00767AD7" w:rsidRPr="00071F6E">
        <w:rPr>
          <w:rFonts w:ascii="Times New Roman" w:eastAsia="Times New Roman" w:hAnsi="Times New Roman" w:cs="Times New Roman"/>
          <w:i/>
          <w:iCs/>
          <w:color w:val="404040"/>
          <w:sz w:val="28"/>
          <w:szCs w:val="28"/>
          <w:lang w:val="en-US" w:eastAsia="ru-RU"/>
        </w:rPr>
        <w:t>see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ORGANIZATIONAL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-TECHNICAL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MEASURES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PLAN).</w:t>
      </w:r>
    </w:p>
    <w:p w:rsidR="00241B83" w:rsidRPr="00071F6E" w:rsidRDefault="00241B83" w:rsidP="00241B83">
      <w:pPr>
        <w:shd w:val="clear" w:color="auto" w:fill="FFFFFF"/>
        <w:spacing w:before="150" w:after="90"/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Thus,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technique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permits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activities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project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carried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out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their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logical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sequence.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Network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diagrams facilitate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systems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approach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to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organization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control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given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processes,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since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staffs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various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="00767AD7"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subdivision stake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part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processes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links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of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single,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integrated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organizational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system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that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are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united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by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a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common</w:t>
      </w:r>
      <w:r w:rsidR="00767AD7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8"/>
          <w:szCs w:val="28"/>
          <w:lang w:val="en-US" w:eastAsia="ru-RU"/>
        </w:rPr>
        <w:t>task.</w:t>
      </w:r>
    </w:p>
    <w:p w:rsidR="00241B83" w:rsidRPr="00071F6E" w:rsidRDefault="00241B83" w:rsidP="00241B83">
      <w:pPr>
        <w:shd w:val="clear" w:color="auto" w:fill="FFFFFF"/>
        <w:spacing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</w:pPr>
      <w:r w:rsidRPr="00071F6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en-US" w:eastAsia="ru-RU"/>
        </w:rPr>
        <w:t>REFERENCES</w:t>
      </w:r>
    </w:p>
    <w:p w:rsidR="00241B83" w:rsidRPr="00071F6E" w:rsidRDefault="00241B83" w:rsidP="00241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</w:pPr>
      <w:bookmarkStart w:id="7" w:name="OLE_LINK3"/>
      <w:bookmarkStart w:id="8" w:name="OLE_LINK4"/>
      <w:proofErr w:type="spellStart"/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Zukhovitskii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S.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I.,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bookmarkEnd w:id="7"/>
      <w:bookmarkEnd w:id="8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I.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A.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Radchik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Matematicheskie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metody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setevogo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planirovaniia</w:t>
      </w:r>
      <w:proofErr w:type="spellEnd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Moscow,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1965.</w:t>
      </w:r>
      <w:proofErr w:type="gram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br/>
      </w:r>
      <w:proofErr w:type="spellStart"/>
      <w:proofErr w:type="gram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Osnovnye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polozheniia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po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razrabotke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iprimeneniiu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system</w:t>
      </w:r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setevogo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planirovaniia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i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upravleniia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2nd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ed.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Moscow,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1967.</w:t>
      </w:r>
      <w:proofErr w:type="gram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br/>
      </w:r>
      <w:proofErr w:type="spellStart"/>
      <w:proofErr w:type="gram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Setevyegrafikivplanirovanii</w:t>
      </w:r>
      <w:proofErr w:type="spellEnd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Moscow,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1967.</w:t>
      </w:r>
      <w:proofErr w:type="gram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br/>
      </w:r>
      <w:proofErr w:type="spellStart"/>
      <w:proofErr w:type="gram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Setevye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modeli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i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zadachi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upravleniia</w:t>
      </w:r>
      <w:proofErr w:type="spellEnd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Moscow,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1967.</w:t>
      </w:r>
      <w:proofErr w:type="gram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br/>
      </w:r>
      <w:proofErr w:type="spellStart"/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Moder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J.,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and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C.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Phillips.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Metod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setevogo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planirovaniia</w:t>
      </w:r>
      <w:proofErr w:type="spell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v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organizatsii</w:t>
      </w:r>
      <w:proofErr w:type="spellEnd"/>
      <w:r w:rsidR="00767AD7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rabot</w:t>
      </w:r>
      <w:proofErr w:type="spellEnd"/>
      <w:r w:rsidRPr="00071F6E">
        <w:rPr>
          <w:rFonts w:ascii="Times New Roman" w:eastAsia="Times New Roman" w:hAnsi="Times New Roman" w:cs="Times New Roman"/>
          <w:i/>
          <w:iCs/>
          <w:color w:val="404040"/>
          <w:sz w:val="20"/>
          <w:szCs w:val="20"/>
          <w:lang w:val="en-US" w:eastAsia="ru-RU"/>
        </w:rPr>
        <w:t>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Moscow-Leningrad,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1966.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(Translated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proofErr w:type="spellStart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fromEnglish</w:t>
      </w:r>
      <w:proofErr w:type="spellEnd"/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.)</w:t>
      </w:r>
      <w:proofErr w:type="gramEnd"/>
    </w:p>
    <w:p w:rsidR="00241B83" w:rsidRPr="00071F6E" w:rsidRDefault="00241B83" w:rsidP="00241B83">
      <w:pPr>
        <w:shd w:val="clear" w:color="auto" w:fill="FFFFFF"/>
        <w:spacing w:before="150" w:after="9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A.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M.</w:t>
      </w:r>
      <w:r w:rsidR="00767AD7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0"/>
          <w:szCs w:val="20"/>
          <w:lang w:val="en-US" w:eastAsia="ru-RU"/>
        </w:rPr>
        <w:t>O</w:t>
      </w:r>
      <w:r w:rsidRPr="00071F6E">
        <w:rPr>
          <w:rFonts w:ascii="Times New Roman" w:eastAsia="Times New Roman" w:hAnsi="Times New Roman" w:cs="Times New Roman"/>
          <w:color w:val="404040"/>
          <w:sz w:val="15"/>
          <w:szCs w:val="15"/>
          <w:lang w:val="en-US" w:eastAsia="ru-RU"/>
        </w:rPr>
        <w:t>MAROV</w:t>
      </w:r>
    </w:p>
    <w:p w:rsidR="00241B83" w:rsidRPr="00071F6E" w:rsidRDefault="00241B83" w:rsidP="00241B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</w:pP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Great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Soviet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Encyclopedia,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3rd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Edition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(1970-1979).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proofErr w:type="gramStart"/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©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2010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The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Gale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Group,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Inc.</w:t>
      </w:r>
      <w:proofErr w:type="gramEnd"/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All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rights</w:t>
      </w:r>
      <w:r w:rsidR="00767AD7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 xml:space="preserve"> </w:t>
      </w:r>
      <w:r w:rsidRPr="00071F6E">
        <w:rPr>
          <w:rFonts w:ascii="Times New Roman" w:eastAsia="Times New Roman" w:hAnsi="Times New Roman" w:cs="Times New Roman"/>
          <w:color w:val="404040"/>
          <w:sz w:val="24"/>
          <w:szCs w:val="24"/>
          <w:lang w:val="en-US" w:eastAsia="ru-RU"/>
        </w:rPr>
        <w:t>reserved.</w:t>
      </w:r>
    </w:p>
    <w:p w:rsidR="00D128EC" w:rsidRDefault="00D128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Сетев</w:t>
      </w:r>
      <w:r>
        <w:rPr>
          <w:rStyle w:val="accented"/>
          <w:b/>
          <w:bCs/>
          <w:color w:val="000000"/>
        </w:rPr>
        <w:t>о</w:t>
      </w:r>
      <w:r>
        <w:rPr>
          <w:b/>
          <w:bCs/>
          <w:color w:val="000000"/>
          <w:sz w:val="27"/>
          <w:szCs w:val="27"/>
        </w:rPr>
        <w:t>е план</w:t>
      </w:r>
      <w:r>
        <w:rPr>
          <w:rStyle w:val="accented"/>
          <w:b/>
          <w:bCs/>
          <w:color w:val="000000"/>
        </w:rPr>
        <w:t>и</w:t>
      </w:r>
      <w:r>
        <w:rPr>
          <w:b/>
          <w:bCs/>
          <w:color w:val="000000"/>
          <w:sz w:val="27"/>
          <w:szCs w:val="27"/>
        </w:rPr>
        <w:t>рование и управл</w:t>
      </w:r>
      <w:r>
        <w:rPr>
          <w:rStyle w:val="accented"/>
          <w:b/>
          <w:bCs/>
          <w:color w:val="000000"/>
        </w:rPr>
        <w:t>е</w:t>
      </w:r>
      <w:r>
        <w:rPr>
          <w:b/>
          <w:bCs/>
          <w:color w:val="000000"/>
          <w:sz w:val="27"/>
          <w:szCs w:val="27"/>
        </w:rPr>
        <w:t>ние</w:t>
      </w:r>
      <w:r>
        <w:rPr>
          <w:color w:val="000000"/>
          <w:sz w:val="27"/>
          <w:szCs w:val="27"/>
        </w:rPr>
        <w:t> (СПУ), система планирования и управления разработкой крупных народно-хозяйственных комплексов, научными исследованиями, конструкторской и технологической подготовкой производства новых видов изделий, строительством и реконструкцией, капитальным ремонтом основных фондов путём применения сетевых графиков. Система СПУ позволяет устанавливать взаимосвязь планируемых работ и получаемых результатов, более точно рассчитывать план, а также своевременно осуществлять его корректировку. СПУ — основа использования ЭВМ в управлении и создании АСУ (см. </w:t>
      </w:r>
      <w:hyperlink r:id="rId7" w:history="1">
        <w:r>
          <w:rPr>
            <w:rStyle w:val="a6"/>
            <w:i/>
            <w:iCs/>
            <w:sz w:val="27"/>
            <w:szCs w:val="27"/>
          </w:rPr>
          <w:t>Автоматизация производства</w:t>
        </w:r>
      </w:hyperlink>
      <w:r>
        <w:rPr>
          <w:color w:val="000000"/>
          <w:sz w:val="27"/>
          <w:szCs w:val="27"/>
        </w:rPr>
        <w:t>).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</w:rPr>
        <w:t>Сущность СПУ состоит в составлении логико-математической модели управляемого объекта в виде сетевого графика (см. </w:t>
      </w:r>
      <w:r>
        <w:rPr>
          <w:b/>
          <w:bCs/>
          <w:i/>
          <w:iCs/>
          <w:color w:val="000000"/>
          <w:sz w:val="27"/>
          <w:szCs w:val="27"/>
        </w:rPr>
        <w:t>рис.</w:t>
      </w:r>
      <w:r>
        <w:rPr>
          <w:color w:val="000000"/>
          <w:sz w:val="27"/>
          <w:szCs w:val="27"/>
        </w:rPr>
        <w:t>) или модели, находящейся в памяти</w:t>
      </w:r>
    </w:p>
    <w:p w:rsidR="00D128EC" w:rsidRDefault="00D128EC" w:rsidP="00D128EC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381375" cy="1173480"/>
            <wp:effectExtent l="0" t="0" r="9525" b="7620"/>
            <wp:docPr id="5" name="Рисунок 5" descr="https://www.booksite.ru/fulltext/1/001/008/images/1434503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ooksite.ru/fulltext/1/001/008/images/14345034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ЭВМ, в которой отражаются взаимосвязь и длительность определённого комплекса работ (см. </w:t>
      </w:r>
      <w:hyperlink r:id="rId9" w:history="1">
        <w:r>
          <w:rPr>
            <w:rStyle w:val="a6"/>
            <w:i/>
            <w:iCs/>
            <w:sz w:val="27"/>
            <w:szCs w:val="27"/>
          </w:rPr>
          <w:t>Математическая модель</w:t>
        </w:r>
      </w:hyperlink>
      <w:r>
        <w:rPr>
          <w:color w:val="000000"/>
          <w:sz w:val="27"/>
          <w:szCs w:val="27"/>
        </w:rPr>
        <w:t>). Сетевой график после его оптимизации средствами прикладной математики и вычислительной техники используется для оперативного управления работами.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На график нанесены работы и события. Каждое событие характеризует завершение или начало работы, а работа означает действие, которое нужно совершить, чтобы перейти от предшествующего события к последующему. События на графике обозначаются кружками, а работы — стрелками, показывающими связь между событиями (возможен и другой вариант: работы изображаются кружками, а связи между ними стрелками). Работа должна быть конкретной, четко описанной и иметь ответственного исполнителя; продолжительность её измеряется количеством дней, недель, декад и др., наносимых над стрелкой. Временные оценки даются ответственными исполнителями соответствующих работ. Все работы в графике ведут к конечному событию — цели планирования.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При планировании длительности работ пользуются действующими нормативами и опытными данными, но во многих случаях (в частности, когда рассматриваются программы по освоению новых видов продукции или проблемные научные исследования) время работы не может быть выражено одной достоверной оценкой; ответственный исполнитель обычно даёт 3 оценки. Оптимистическая оценка времени (минимальная продолжительность работы </w:t>
      </w:r>
      <w:proofErr w:type="spellStart"/>
      <w:r>
        <w:rPr>
          <w:i/>
          <w:iCs/>
          <w:color w:val="000000"/>
          <w:sz w:val="27"/>
          <w:szCs w:val="27"/>
        </w:rPr>
        <w:t>t</w:t>
      </w:r>
      <w:r>
        <w:rPr>
          <w:i/>
          <w:iCs/>
          <w:color w:val="000000"/>
          <w:sz w:val="27"/>
          <w:szCs w:val="27"/>
          <w:vertAlign w:val="subscript"/>
        </w:rPr>
        <w:t>min</w:t>
      </w:r>
      <w:proofErr w:type="spellEnd"/>
      <w:r>
        <w:rPr>
          <w:color w:val="000000"/>
          <w:sz w:val="27"/>
          <w:szCs w:val="27"/>
        </w:rPr>
        <w:t xml:space="preserve">) — минимальный срок, в течение которого будет выполнена работа в наиболее благоприятных условиях, если ничто не помешает её выполнению. Пессимистическая оценка времени (максимальная продолжительность </w:t>
      </w:r>
      <w:r>
        <w:rPr>
          <w:color w:val="000000"/>
          <w:sz w:val="27"/>
          <w:szCs w:val="27"/>
        </w:rPr>
        <w:lastRenderedPageBreak/>
        <w:t>работы </w:t>
      </w:r>
      <w:proofErr w:type="spellStart"/>
      <w:r>
        <w:rPr>
          <w:i/>
          <w:iCs/>
          <w:color w:val="000000"/>
          <w:sz w:val="27"/>
          <w:szCs w:val="27"/>
        </w:rPr>
        <w:t>t</w:t>
      </w:r>
      <w:r>
        <w:rPr>
          <w:i/>
          <w:iCs/>
          <w:color w:val="000000"/>
          <w:sz w:val="27"/>
          <w:szCs w:val="27"/>
          <w:vertAlign w:val="subscript"/>
        </w:rPr>
        <w:t>max</w:t>
      </w:r>
      <w:proofErr w:type="spellEnd"/>
      <w:r>
        <w:rPr>
          <w:color w:val="000000"/>
          <w:sz w:val="27"/>
          <w:szCs w:val="27"/>
        </w:rPr>
        <w:t>) характеризуется продолжительностью времени, необходимого для выполнения работы при наиболее неблагоприятных условиях, если в процессе её выполнения возникнут трудности. Наиболее вероятная продолжительность времени (</w:t>
      </w:r>
      <w:proofErr w:type="spellStart"/>
      <w:proofErr w:type="gramStart"/>
      <w:r>
        <w:rPr>
          <w:i/>
          <w:iCs/>
          <w:color w:val="000000"/>
          <w:sz w:val="27"/>
          <w:szCs w:val="27"/>
        </w:rPr>
        <w:t>t</w:t>
      </w:r>
      <w:proofErr w:type="gramEnd"/>
      <w:r>
        <w:rPr>
          <w:i/>
          <w:iCs/>
          <w:color w:val="000000"/>
          <w:sz w:val="27"/>
          <w:szCs w:val="27"/>
          <w:vertAlign w:val="subscript"/>
        </w:rPr>
        <w:t>нв</w:t>
      </w:r>
      <w:proofErr w:type="spellEnd"/>
      <w:r>
        <w:rPr>
          <w:color w:val="000000"/>
          <w:sz w:val="27"/>
          <w:szCs w:val="27"/>
        </w:rPr>
        <w:t>) показывает время выполнения работы в нормальных условиях.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Ожидаемая продолжительность работы определяется на основании 3 или 2 оценок по одной из следующих формул:</w:t>
      </w:r>
    </w:p>
    <w:p w:rsidR="00D128EC" w:rsidRDefault="00D128EC" w:rsidP="00D128EC">
      <w:pPr>
        <w:pStyle w:val="a5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492250" cy="405130"/>
            <wp:effectExtent l="0" t="0" r="0" b="0"/>
            <wp:docPr id="4" name="Рисунок 4" descr="https://www.booksite.ru/fulltext/1/001/008/images/167423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ooksite.ru/fulltext/1/001/008/images/16742309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или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1224915" cy="405130"/>
            <wp:effectExtent l="0" t="0" r="0" b="0"/>
            <wp:docPr id="3" name="Рисунок 3" descr="https://www.booksite.ru/fulltext/1/001/008/images/1702957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ooksite.ru/fulltext/1/001/008/images/17029577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Важный элемент разработки сетевого графика — определение продолжительности путей. На </w:t>
      </w:r>
      <w:r>
        <w:rPr>
          <w:b/>
          <w:bCs/>
          <w:i/>
          <w:iCs/>
          <w:color w:val="000000"/>
          <w:sz w:val="27"/>
          <w:szCs w:val="27"/>
        </w:rPr>
        <w:t>рис.</w:t>
      </w:r>
      <w:r>
        <w:rPr>
          <w:color w:val="000000"/>
          <w:sz w:val="27"/>
          <w:szCs w:val="27"/>
        </w:rPr>
        <w:t> пути представлены линиями, образуемыми стрелками взаимосвязанных работ, концы которых указывают на начальные и конечные события. Различают полные и критические пути: полным называется путь, начало которого совпадает с исходным событием сети, а конец — с её завершающим событием; критическим — путь, имеющий наибольшую продолжительность и характеризующий время выполнения всего комплекса работ, проекта в целом, т. е. время достижения конечной цели (на </w:t>
      </w:r>
      <w:r>
        <w:rPr>
          <w:b/>
          <w:bCs/>
          <w:i/>
          <w:iCs/>
          <w:color w:val="000000"/>
          <w:sz w:val="27"/>
          <w:szCs w:val="27"/>
        </w:rPr>
        <w:t>рис.</w:t>
      </w:r>
      <w:r>
        <w:rPr>
          <w:color w:val="000000"/>
          <w:sz w:val="27"/>
          <w:szCs w:val="27"/>
        </w:rPr>
        <w:t> обозначен жирными стрелками).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 Критический путь расценивается как самый важный в системе СПУ, т. к. представляет собой основу для выбора оптимального плана и организации </w:t>
      </w:r>
      <w:proofErr w:type="gramStart"/>
      <w:r>
        <w:rPr>
          <w:color w:val="000000"/>
          <w:sz w:val="27"/>
          <w:szCs w:val="27"/>
        </w:rPr>
        <w:t>контроля за</w:t>
      </w:r>
      <w:proofErr w:type="gramEnd"/>
      <w:r>
        <w:rPr>
          <w:color w:val="000000"/>
          <w:sz w:val="27"/>
          <w:szCs w:val="27"/>
        </w:rPr>
        <w:t xml:space="preserve"> ходом работ. Отношение продолжительности любого пути к продолжительности критического пути характеризует степень его напряжённости. Если критический путь является наиболее продолжительным по времени от начального до конечного события, то все др. события и работы должны лежать на путях более коротких.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  Совершенные формы СПУ содержат информацию относительно движения материальных затрат и наращивания издержек по объекту. </w:t>
      </w:r>
      <w:proofErr w:type="gramStart"/>
      <w:r>
        <w:rPr>
          <w:color w:val="000000"/>
          <w:sz w:val="27"/>
          <w:szCs w:val="27"/>
        </w:rPr>
        <w:t>СПУ проводится примерно в следующей очерёдности: расчленение комплекса работ на отдельные последовательные этапы, каждый из которых закрепляется за ответственным исполнителем; выявление и описание всех событий и работ, необходимых для достижения неконечной цели; построение сетевого графика; определение времени выполнения каждой работы в сети на основе системы оценок; расчёт критического пути и резервов времени;</w:t>
      </w:r>
      <w:proofErr w:type="gramEnd"/>
      <w:r>
        <w:rPr>
          <w:color w:val="000000"/>
          <w:sz w:val="27"/>
          <w:szCs w:val="27"/>
        </w:rPr>
        <w:t xml:space="preserve"> анализ сети и оптимизация графика, разработка мероприятий по сокращению времени критического пути; управление ходом работ с помощью сетевого графика.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Каждый исполнитель определяет состав и последовательность закрепленного за ним этапа работ. Затем ответственное за проект лицо составляет первичные сетевые графики, которые после их корректировки «сшиваются» в сводный сетевой график. Этот график завершается событием, соответствующим заданной конечной цели. При этом особое внимание уделяется устранению неувязок на стыках между первичными сетевыми графиками, т. е. этапами комплекса работ.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  По мере движения </w:t>
      </w:r>
      <w:proofErr w:type="gramStart"/>
      <w:r>
        <w:rPr>
          <w:color w:val="000000"/>
          <w:sz w:val="27"/>
          <w:szCs w:val="27"/>
        </w:rPr>
        <w:t>ко</w:t>
      </w:r>
      <w:proofErr w:type="gramEnd"/>
      <w:r>
        <w:rPr>
          <w:color w:val="000000"/>
          <w:sz w:val="27"/>
          <w:szCs w:val="27"/>
        </w:rPr>
        <w:t xml:space="preserve"> всё более высокому уровню выполнения работ планы-графики укрупняются. Если они предназначены для руководителей предприятий, то в них включаются только сроки свершения граничных событий, являющихся выходными для одних предприятий и входными для других, с указанием времени начала и окончания работ критической зоны. Планы-графики руководителей промежуточных ступеней дополняются сведениями о сроках свершения граничных событий между отдельными ответственными исполнителями.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 В процессе выполнения планов-графиков осуществляются непрерывный контроль, корректировка и регулирование сетевой модели. Для устранения расхождений между запланированным и фактическим ходом работ проводятся организационно-технические мероприятия (см. </w:t>
      </w:r>
      <w:hyperlink r:id="rId12" w:history="1">
        <w:r>
          <w:rPr>
            <w:rStyle w:val="a6"/>
            <w:i/>
            <w:iCs/>
            <w:sz w:val="27"/>
            <w:szCs w:val="27"/>
          </w:rPr>
          <w:t>Организационно-технических мероприятий план</w:t>
        </w:r>
      </w:hyperlink>
      <w:r>
        <w:rPr>
          <w:color w:val="000000"/>
          <w:sz w:val="27"/>
          <w:szCs w:val="27"/>
        </w:rPr>
        <w:t>).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</w:rPr>
        <w:t xml:space="preserve">Т. о., СПУ </w:t>
      </w:r>
      <w:proofErr w:type="gramStart"/>
      <w:r>
        <w:rPr>
          <w:color w:val="000000"/>
          <w:sz w:val="27"/>
          <w:szCs w:val="27"/>
        </w:rPr>
        <w:t>создаёт</w:t>
      </w:r>
      <w:proofErr w:type="gramEnd"/>
      <w:r>
        <w:rPr>
          <w:color w:val="000000"/>
          <w:sz w:val="27"/>
          <w:szCs w:val="27"/>
        </w:rPr>
        <w:t xml:space="preserve"> в конечном счёте условия для выполнения всего комплекса работ в их логической последовательности. С помощью сетевых графиков осуществляется системный подход к вопросам организации управления заданными процессами, поскольку коллективы различных подразделений участвуют в них как звенья единой сложной организационной системы, объединённые общностью задачи.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</w:t>
      </w:r>
      <w:proofErr w:type="gramStart"/>
      <w:r>
        <w:rPr>
          <w:i/>
          <w:iCs/>
          <w:color w:val="000000"/>
          <w:sz w:val="27"/>
          <w:szCs w:val="27"/>
        </w:rPr>
        <w:t>Лит.:</w:t>
      </w:r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Зуховицкий</w:t>
      </w:r>
      <w:proofErr w:type="spellEnd"/>
      <w:r>
        <w:rPr>
          <w:color w:val="000000"/>
          <w:sz w:val="27"/>
          <w:szCs w:val="27"/>
        </w:rPr>
        <w:t xml:space="preserve"> С. И., </w:t>
      </w:r>
      <w:proofErr w:type="spellStart"/>
      <w:r>
        <w:rPr>
          <w:color w:val="000000"/>
          <w:sz w:val="27"/>
          <w:szCs w:val="27"/>
        </w:rPr>
        <w:t>Радчик</w:t>
      </w:r>
      <w:proofErr w:type="spellEnd"/>
      <w:r>
        <w:rPr>
          <w:color w:val="000000"/>
          <w:sz w:val="27"/>
          <w:szCs w:val="27"/>
        </w:rPr>
        <w:t xml:space="preserve"> И. А., Математические методы сетевого планирования, М., 1965; Основные положения по разработке и применению систем сетевого планирования и управления, 2 изд., М., 1967; Сетевые графики в планировании, М., 1967; Сетевые модели и задачи управления, М., 1967; </w:t>
      </w:r>
      <w:proofErr w:type="spellStart"/>
      <w:r>
        <w:rPr>
          <w:color w:val="000000"/>
          <w:sz w:val="27"/>
          <w:szCs w:val="27"/>
        </w:rPr>
        <w:t>Модер</w:t>
      </w:r>
      <w:proofErr w:type="spellEnd"/>
      <w:r>
        <w:rPr>
          <w:color w:val="000000"/>
          <w:sz w:val="27"/>
          <w:szCs w:val="27"/>
        </w:rPr>
        <w:t xml:space="preserve"> Дж., </w:t>
      </w:r>
      <w:proofErr w:type="spellStart"/>
      <w:r>
        <w:rPr>
          <w:color w:val="000000"/>
          <w:sz w:val="27"/>
          <w:szCs w:val="27"/>
        </w:rPr>
        <w:t>Филлипс</w:t>
      </w:r>
      <w:proofErr w:type="spellEnd"/>
      <w:r>
        <w:rPr>
          <w:color w:val="000000"/>
          <w:sz w:val="27"/>
          <w:szCs w:val="27"/>
        </w:rPr>
        <w:t xml:space="preserve"> С., Метод сетевого планирования в организации работ, пер. с англ., М. — Л., 1966.</w:t>
      </w:r>
      <w:proofErr w:type="gramEnd"/>
    </w:p>
    <w:p w:rsidR="00D128EC" w:rsidRDefault="00D128EC" w:rsidP="00D128EC">
      <w:pPr>
        <w:pStyle w:val="a5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  А. М. Омаров.</w:t>
      </w:r>
    </w:p>
    <w:p w:rsidR="00241B83" w:rsidRPr="00071F6E" w:rsidRDefault="00241B83">
      <w:pPr>
        <w:rPr>
          <w:rFonts w:ascii="Times New Roman" w:hAnsi="Times New Roman" w:cs="Times New Roman"/>
          <w:lang w:val="en-US"/>
        </w:rPr>
      </w:pPr>
    </w:p>
    <w:sectPr w:rsidR="00241B83" w:rsidRPr="00071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EFB"/>
    <w:rsid w:val="00071F6E"/>
    <w:rsid w:val="00241B83"/>
    <w:rsid w:val="00767AD7"/>
    <w:rsid w:val="009A57AE"/>
    <w:rsid w:val="00D128EC"/>
    <w:rsid w:val="00D13EFB"/>
    <w:rsid w:val="00D7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1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1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1B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1B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4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B8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1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cented">
    <w:name w:val="accented"/>
    <w:basedOn w:val="a0"/>
    <w:rsid w:val="00D128EC"/>
  </w:style>
  <w:style w:type="character" w:styleId="a6">
    <w:name w:val="Hyperlink"/>
    <w:basedOn w:val="a0"/>
    <w:uiPriority w:val="99"/>
    <w:semiHidden/>
    <w:unhideWhenUsed/>
    <w:rsid w:val="00D128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1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1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1B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1B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4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1B8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1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cented">
    <w:name w:val="accented"/>
    <w:basedOn w:val="a0"/>
    <w:rsid w:val="00D128EC"/>
  </w:style>
  <w:style w:type="character" w:styleId="a6">
    <w:name w:val="Hyperlink"/>
    <w:basedOn w:val="a0"/>
    <w:uiPriority w:val="99"/>
    <w:semiHidden/>
    <w:unhideWhenUsed/>
    <w:rsid w:val="00D12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71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68486">
                  <w:marLeft w:val="30"/>
                  <w:marRight w:val="30"/>
                  <w:marTop w:val="0"/>
                  <w:marBottom w:val="0"/>
                  <w:divBdr>
                    <w:top w:val="single" w:sz="6" w:space="0" w:color="80808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47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oksite.ru/fulltext/1/001/008/086/014.htm" TargetMode="External"/><Relationship Id="rId12" Type="http://schemas.openxmlformats.org/officeDocument/2006/relationships/hyperlink" Target="https://www.booksite.ru/fulltext/1/001/008/084/794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https://www.booksite.ru/fulltext/1/001/008/074/31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2165</Words>
  <Characters>12150</Characters>
  <Application>Microsoft Office Word</Application>
  <DocSecurity>0</DocSecurity>
  <Lines>171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Gubarev(user)</dc:creator>
  <cp:lastModifiedBy>Sergey Gubarev(user)</cp:lastModifiedBy>
  <cp:revision>2</cp:revision>
  <dcterms:created xsi:type="dcterms:W3CDTF">2018-12-07T12:43:00Z</dcterms:created>
  <dcterms:modified xsi:type="dcterms:W3CDTF">2018-12-07T12:43:00Z</dcterms:modified>
</cp:coreProperties>
</file>