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0000001">
      <w:pPr>
        <w:pStyle w:val="2"/>
        <w:jc w:val="center"/>
      </w:pPr>
      <w:bookmarkStart w:id="0" w:name="_np209ztjhxac" w:colFirst="0" w:colLast="0"/>
      <w:bookmarkEnd w:id="0"/>
      <w:r>
        <w:rPr>
          <w:rtl w:val="0"/>
        </w:rPr>
        <w:t>Project Move It OKRs</w:t>
      </w:r>
    </w:p>
    <w:tbl>
      <w:tblPr>
        <w:tblStyle w:val="14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 w14:paraId="66264FB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4285F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2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3"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4285F4"/>
                <w:rtl w:val="0"/>
              </w:rPr>
              <w:t> O1 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4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4285F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5">
            <w:pPr>
              <w:spacing w:before="40" w:after="0"/>
              <w:rPr>
                <w:b/>
              </w:rPr>
            </w:pPr>
            <w:r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Actively and meaningfully engage the public to generate buy-in and project support</w:t>
            </w:r>
          </w:p>
        </w:tc>
        <w:tc>
          <w:tcPr>
            <w:tcBorders>
              <w:top w:val="single" w:color="BDC1C6" w:sz="8" w:space="0"/>
              <w:bottom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6">
            <w:pPr>
              <w:spacing w:after="0" w:line="240" w:lineRule="auto"/>
            </w:pPr>
          </w:p>
        </w:tc>
      </w:tr>
      <w:tr w14:paraId="74B5E92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4285F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>
            <w:pPr>
              <w:spacing w:after="0" w:line="240" w:lineRule="auto"/>
            </w:pP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 KR1 </w:t>
            </w:r>
          </w:p>
        </w:tc>
        <w:tc>
          <w:tcPr>
            <w:tcBorders>
              <w:top w:val="single" w:color="4285F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>
            <w:pPr>
              <w:spacing w:after="0" w:line="240" w:lineRule="auto"/>
            </w:pPr>
          </w:p>
        </w:tc>
        <w:tc>
          <w:tcPr>
            <w:tcBorders>
              <w:top w:val="single" w:color="4285F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A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Conduct five public outreach events across different neighborhoods before the end of Q3.</w:t>
            </w:r>
          </w:p>
        </w:tc>
        <w:tc>
          <w:tcPr>
            <w:tcBorders>
              <w:top w:val="single" w:color="4285F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B">
            <w:pPr>
              <w:spacing w:after="0" w:line="240" w:lineRule="auto"/>
            </w:pPr>
          </w:p>
        </w:tc>
      </w:tr>
      <w:tr w14:paraId="29578E9D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C"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D"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E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0F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Achieve 80% positive feedback from community members on the proposed bus line locations by the end of Q4.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0">
            <w:pPr>
              <w:spacing w:after="0" w:line="240" w:lineRule="auto"/>
            </w:pPr>
          </w:p>
        </w:tc>
      </w:tr>
      <w:tr w14:paraId="0EAA788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1"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2">
            <w:pPr>
              <w:spacing w:before="40" w:after="0"/>
              <w:jc w:val="center"/>
              <w:rPr>
                <w:color w:val="1967D2"/>
                <w:sz w:val="20"/>
                <w:szCs w:val="20"/>
                <w:shd w:val="clear" w:fill="E8F0FE"/>
              </w:rPr>
            </w:pPr>
            <w:r>
              <w:rPr>
                <w:color w:val="1967D2"/>
                <w:sz w:val="20"/>
                <w:szCs w:val="20"/>
                <w:shd w:val="clear" w:fill="E8F0FE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3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4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Increase social media engagement related to public transportation updates by 30% by the end of year two.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5">
            <w:pPr>
              <w:spacing w:after="0" w:line="240" w:lineRule="auto"/>
            </w:pPr>
          </w:p>
        </w:tc>
      </w:tr>
    </w:tbl>
    <w:p w14:paraId="00000016"/>
    <w:tbl>
      <w:tblPr>
        <w:tblStyle w:val="15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 w14:paraId="10C6E78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EA4335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7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8"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EA4335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EA4335"/>
                <w:rtl w:val="0"/>
              </w:rPr>
              <w:t> O2 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9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EA4335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A">
            <w:pPr>
              <w:spacing w:before="40" w:after="0"/>
              <w:rPr>
                <w:b/>
              </w:rPr>
            </w:pPr>
            <w:r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Make it easy to get around the greater Wonder City area via public transportation.</w:t>
            </w:r>
          </w:p>
        </w:tc>
        <w:tc>
          <w:tcPr>
            <w:tcBorders>
              <w:top w:val="single" w:color="BDC1C6" w:sz="8" w:space="0"/>
              <w:bottom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B">
            <w:pPr>
              <w:spacing w:after="0" w:line="240" w:lineRule="auto"/>
            </w:pPr>
          </w:p>
        </w:tc>
      </w:tr>
      <w:tr w14:paraId="5F9A492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EA4335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C"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D"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 KR1 </w:t>
            </w:r>
          </w:p>
        </w:tc>
        <w:tc>
          <w:tcPr>
            <w:tcBorders>
              <w:top w:val="single" w:color="EA4335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1E">
            <w:pPr>
              <w:spacing w:after="0" w:line="240" w:lineRule="auto"/>
            </w:pPr>
          </w:p>
        </w:tc>
        <w:tc>
          <w:tcPr>
            <w:tcBorders>
              <w:top w:val="single" w:color="EA4335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1F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Launch five new bus lines within two years, connecting 50% of the most densely populated areas to downtown and public resource facilities.</w:t>
            </w:r>
          </w:p>
        </w:tc>
        <w:tc>
          <w:tcPr>
            <w:tcBorders>
              <w:top w:val="single" w:color="EA4335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0">
            <w:pPr>
              <w:spacing w:after="0" w:line="240" w:lineRule="auto"/>
            </w:pPr>
          </w:p>
        </w:tc>
      </w:tr>
      <w:tr w14:paraId="35A030A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1"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2"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3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24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Reduce average wait times by 15% by the end of year two compared to the current baseline.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5">
            <w:pPr>
              <w:spacing w:after="0" w:line="240" w:lineRule="auto"/>
            </w:pPr>
          </w:p>
        </w:tc>
      </w:tr>
      <w:tr w14:paraId="2E475C6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6"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7">
            <w:pPr>
              <w:spacing w:before="40" w:after="0"/>
              <w:jc w:val="center"/>
              <w:rPr>
                <w:color w:val="C5221F"/>
                <w:sz w:val="20"/>
                <w:szCs w:val="20"/>
                <w:shd w:val="clear" w:fill="FCE8E6"/>
              </w:rPr>
            </w:pPr>
            <w:r>
              <w:rPr>
                <w:color w:val="C5221F"/>
                <w:sz w:val="20"/>
                <w:szCs w:val="20"/>
                <w:shd w:val="clear" w:fill="FCE8E6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8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29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Increase public transportation ridership by 20% in the first six months after the launch of the new bus lines.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A">
            <w:pPr>
              <w:spacing w:after="0" w:line="240" w:lineRule="auto"/>
            </w:pPr>
          </w:p>
        </w:tc>
      </w:tr>
    </w:tbl>
    <w:p w14:paraId="0000002B"/>
    <w:tbl>
      <w:tblPr>
        <w:tblStyle w:val="16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 w14:paraId="605305A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FBBC04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C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D"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FBBC04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FBBC04"/>
                <w:rtl w:val="0"/>
              </w:rPr>
              <w:t> O3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2E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FBBC04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2F">
            <w:pPr>
              <w:spacing w:before="40" w:after="0"/>
              <w:rPr>
                <w:b/>
              </w:rPr>
            </w:pPr>
            <w:r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Promote public transportation as a convenient alternative to driving.</w:t>
            </w:r>
          </w:p>
        </w:tc>
        <w:tc>
          <w:tcPr>
            <w:tcBorders>
              <w:top w:val="single" w:color="BDC1C6" w:sz="8" w:space="0"/>
              <w:bottom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0">
            <w:pPr>
              <w:spacing w:after="0" w:line="240" w:lineRule="auto"/>
            </w:pPr>
          </w:p>
        </w:tc>
      </w:tr>
      <w:tr w14:paraId="3DCDDBD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FBBC04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1"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2"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 KR1 </w:t>
            </w:r>
          </w:p>
        </w:tc>
        <w:tc>
          <w:tcPr>
            <w:tcBorders>
              <w:top w:val="single" w:color="FBBC04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3">
            <w:pPr>
              <w:spacing w:after="0" w:line="240" w:lineRule="auto"/>
            </w:pPr>
          </w:p>
        </w:tc>
        <w:tc>
          <w:tcPr>
            <w:tcBorders>
              <w:top w:val="single" w:color="FBBC04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34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Launch a marketing campaign by Q1 of year two, targeting a 15% increase in public transportation usage during peak traffic hours.</w:t>
            </w:r>
          </w:p>
        </w:tc>
        <w:tc>
          <w:tcPr>
            <w:tcBorders>
              <w:top w:val="single" w:color="FBBC04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5">
            <w:pPr>
              <w:spacing w:after="0" w:line="240" w:lineRule="auto"/>
            </w:pPr>
          </w:p>
        </w:tc>
      </w:tr>
      <w:tr w14:paraId="41E7A83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6"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7"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8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39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Distribute 10,000 informational brochures and digital ads by the end of Q2 to highlight the benefits of the new bus lines.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A">
            <w:pPr>
              <w:spacing w:after="0" w:line="240" w:lineRule="auto"/>
            </w:pPr>
          </w:p>
        </w:tc>
      </w:tr>
      <w:tr w14:paraId="3EF45820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B"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C">
            <w:pPr>
              <w:spacing w:before="40" w:after="0"/>
              <w:jc w:val="center"/>
              <w:rPr>
                <w:color w:val="E37400"/>
                <w:sz w:val="20"/>
                <w:szCs w:val="20"/>
                <w:shd w:val="clear" w:fill="FEF7E0"/>
              </w:rPr>
            </w:pPr>
            <w:r>
              <w:rPr>
                <w:color w:val="E37400"/>
                <w:sz w:val="20"/>
                <w:szCs w:val="20"/>
                <w:shd w:val="clear" w:fill="FEF7E0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D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3E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Measure a 10% decrease in personal vehicle traffic in downtown areas within six months of the bus line launch.</w:t>
            </w:r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3F">
            <w:pPr>
              <w:spacing w:after="0" w:line="240" w:lineRule="auto"/>
            </w:pPr>
          </w:p>
        </w:tc>
      </w:tr>
    </w:tbl>
    <w:p w14:paraId="00000040"/>
    <w:tbl>
      <w:tblPr>
        <w:tblStyle w:val="17"/>
        <w:tblW w:w="1080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"/>
        <w:gridCol w:w="576"/>
        <w:gridCol w:w="144"/>
        <w:gridCol w:w="9792"/>
        <w:gridCol w:w="144"/>
      </w:tblGrid>
      <w:tr w14:paraId="53A1E59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BDC1C6" w:sz="8" w:space="0"/>
              <w:left w:val="single" w:color="BDC1C6" w:sz="8" w:space="0"/>
              <w:bottom w:val="single" w:color="34A853" w:sz="1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1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2">
            <w:pPr>
              <w:spacing w:before="40" w:after="0"/>
              <w:jc w:val="center"/>
              <w:rPr>
                <w:rFonts w:ascii="Google Sans" w:hAnsi="Google Sans" w:eastAsia="Google Sans" w:cs="Google Sans"/>
                <w:b/>
                <w:sz w:val="24"/>
                <w:szCs w:val="24"/>
                <w:shd w:val="clear" w:fill="34A853"/>
              </w:rPr>
            </w:pPr>
            <w:r>
              <w:rPr>
                <w:rFonts w:ascii="Google Sans" w:hAnsi="Google Sans" w:eastAsia="Google Sans" w:cs="Google Sans"/>
                <w:b/>
                <w:color w:val="FFFFFF"/>
                <w:sz w:val="24"/>
                <w:szCs w:val="24"/>
                <w:shd w:val="clear" w:fill="34A853"/>
                <w:rtl w:val="0"/>
              </w:rPr>
              <w:t> O4 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3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34A853" w:sz="1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44">
            <w:pPr>
              <w:spacing w:before="40" w:after="0"/>
              <w:rPr>
                <w:b/>
              </w:rPr>
            </w:pPr>
            <w:r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Provide a reliable and consistent public transportation service.</w:t>
            </w:r>
          </w:p>
        </w:tc>
        <w:tc>
          <w:tcPr>
            <w:tcBorders>
              <w:top w:val="single" w:color="BDC1C6" w:sz="8" w:space="0"/>
              <w:bottom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5">
            <w:pPr>
              <w:spacing w:after="0" w:line="240" w:lineRule="auto"/>
            </w:pPr>
          </w:p>
        </w:tc>
      </w:tr>
      <w:tr w14:paraId="70F6B88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34A853" w:sz="18" w:space="0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6"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7"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 KR1 </w:t>
            </w:r>
          </w:p>
        </w:tc>
        <w:tc>
          <w:tcPr>
            <w:tcBorders>
              <w:top w:val="single" w:color="34A853" w:sz="18" w:space="0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8">
            <w:pPr>
              <w:spacing w:after="0" w:line="240" w:lineRule="auto"/>
            </w:pPr>
          </w:p>
        </w:tc>
        <w:tc>
          <w:tcPr>
            <w:tcBorders>
              <w:top w:val="single" w:color="34A853" w:sz="1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49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Maintain on-time bus arrivals for 95% of trips within the first year of operation.</w:t>
            </w:r>
          </w:p>
        </w:tc>
        <w:tc>
          <w:tcPr>
            <w:tcBorders>
              <w:top w:val="single" w:color="34A853" w:sz="1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A">
            <w:pPr>
              <w:spacing w:after="0" w:line="240" w:lineRule="auto"/>
            </w:pPr>
          </w:p>
        </w:tc>
      </w:tr>
      <w:tr w14:paraId="3073AF58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B">
            <w:pPr>
              <w:spacing w:after="0" w:line="240" w:lineRule="auto"/>
            </w:pP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C"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 KR2 </w:t>
            </w:r>
          </w:p>
        </w:tc>
        <w:tc>
          <w:tcPr>
            <w:tcBorders>
              <w:top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D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4E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Increase customer satisfaction scores to 90% by the end of year two.</w:t>
            </w:r>
          </w:p>
        </w:tc>
        <w:tc>
          <w:tcPr>
            <w:tcBorders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4F">
            <w:pPr>
              <w:spacing w:after="0" w:line="240" w:lineRule="auto"/>
            </w:pPr>
          </w:p>
        </w:tc>
      </w:tr>
      <w:tr w14:paraId="7F09FDC1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nil"/>
              <w:left w:val="single" w:color="BDC1C6" w:sz="8" w:space="0"/>
              <w:bottom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0">
            <w:pPr>
              <w:spacing w:after="0" w:line="240" w:lineRule="auto"/>
            </w:pP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1">
            <w:pPr>
              <w:spacing w:before="40" w:after="0"/>
              <w:jc w:val="center"/>
              <w:rPr>
                <w:color w:val="188038"/>
                <w:sz w:val="20"/>
                <w:szCs w:val="20"/>
                <w:shd w:val="clear" w:fill="E6F4EA"/>
              </w:rPr>
            </w:pPr>
            <w:r>
              <w:rPr>
                <w:color w:val="188038"/>
                <w:sz w:val="20"/>
                <w:szCs w:val="20"/>
                <w:shd w:val="clear" w:fill="E6F4EA"/>
                <w:rtl w:val="0"/>
              </w:rPr>
              <w:t> KR3 </w:t>
            </w:r>
          </w:p>
        </w:tc>
        <w:tc>
          <w:tcPr>
            <w:tcBorders>
              <w:top w:val="nil"/>
              <w:bottom w:val="single" w:color="BDC1C6" w:sz="8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2">
            <w:pPr>
              <w:spacing w:after="0" w:line="240" w:lineRule="auto"/>
            </w:pPr>
          </w:p>
        </w:tc>
        <w:tc>
          <w:tcPr>
            <w:tcBorders>
              <w:top w:val="single" w:color="BDC1C6" w:sz="8" w:space="0"/>
              <w:left w:val="nil"/>
              <w:bottom w:val="single" w:color="BDC1C6" w:sz="8" w:space="0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00053">
            <w:pPr>
              <w:spacing w:before="40" w:after="0"/>
            </w:pPr>
            <w:r>
              <w:rPr>
                <w:rFonts w:ascii="SimSun" w:hAnsi="SimSun" w:eastAsia="SimSun" w:cs="SimSun"/>
                <w:sz w:val="24"/>
                <w:szCs w:val="24"/>
              </w:rPr>
              <w:t>Resolve 85% of service complaints within 48 hours of receiving them by the end of Q4.</w:t>
            </w:r>
            <w:bookmarkStart w:id="1" w:name="_GoBack"/>
            <w:bookmarkEnd w:id="1"/>
          </w:p>
        </w:tc>
        <w:tc>
          <w:tcPr>
            <w:tcBorders>
              <w:bottom w:val="single" w:color="BDC1C6" w:sz="8" w:space="0"/>
              <w:right w:val="single" w:color="BDC1C6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54">
            <w:pPr>
              <w:spacing w:after="0" w:line="240" w:lineRule="auto"/>
            </w:pPr>
          </w:p>
        </w:tc>
      </w:tr>
    </w:tbl>
    <w:p w14:paraId="00000055"/>
    <w:p w14:paraId="00000056"/>
    <w:sectPr>
      <w:pgSz w:w="12240" w:h="15840"/>
      <w:pgMar w:top="144" w:right="720" w:bottom="144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 Tex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D1A73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Google Sans Text" w:hAnsi="Google Sans Text" w:eastAsia="Google Sans Text" w:cs="Google Sans Text"/>
      <w:color w:val="3C4043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60"/>
    </w:pPr>
    <w:rPr>
      <w:rFonts w:ascii="Google Sans" w:hAnsi="Google Sans" w:eastAsia="Google Sans" w:cs="Google Sans"/>
      <w:color w:val="4285F4"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0"/>
    </w:pPr>
    <w:rPr>
      <w:rFonts w:ascii="Google Sans" w:hAnsi="Google Sans" w:eastAsia="Google Sans" w:cs="Google Sans"/>
      <w:b/>
      <w:color w:val="4285F4"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0"/>
    </w:pPr>
    <w:rPr>
      <w:b/>
      <w:color w:val="4285F4"/>
    </w:rPr>
  </w:style>
  <w:style w:type="paragraph" w:styleId="5">
    <w:name w:val="heading 4"/>
    <w:basedOn w:val="1"/>
    <w:next w:val="1"/>
    <w:uiPriority w:val="0"/>
    <w:pPr>
      <w:keepNext/>
      <w:keepLines/>
      <w:spacing w:after="0"/>
    </w:pPr>
    <w:rPr>
      <w:b/>
      <w:i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tabs>
        <w:tab w:val="right" w:pos="10800"/>
      </w:tabs>
      <w:spacing w:after="0"/>
    </w:pPr>
    <w:rPr>
      <w:rFonts w:ascii="Roboto" w:hAnsi="Roboto" w:eastAsia="Roboto" w:cs="Roboto"/>
      <w:color w:val="4285F4"/>
    </w:rPr>
  </w:style>
  <w:style w:type="paragraph" w:styleId="12">
    <w:name w:val="Title"/>
    <w:basedOn w:val="1"/>
    <w:next w:val="1"/>
    <w:uiPriority w:val="0"/>
    <w:pPr>
      <w:keepNext/>
      <w:keepLines/>
    </w:pPr>
    <w:rPr>
      <w:rFonts w:ascii="Google Sans" w:hAnsi="Google Sans" w:eastAsia="Google Sans" w:cs="Google Sans"/>
      <w:sz w:val="36"/>
      <w:szCs w:val="36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6">
    <w:name w:val="_Style 1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2024-09-27T17:04:06Z</dcterms:created>
  <dc:creator>pooja</dc:creator>
  <cp:lastModifiedBy>Pooja Bharti</cp:lastModifiedBy>
  <dcterms:modified xsi:type="dcterms:W3CDTF">2024-09-27T17:08:13Z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DF6518B33D9C48B79225ECA727A85803_12</vt:lpwstr>
  </property>
</Properties>
</file>