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pageBreakBefore w:val="0"/>
        <w:spacing w:after="200" w:line="240" w:lineRule="auto"/>
        <w:ind w:left="0" w:firstLine="0"/>
        <w:rPr>
          <w:color w:val="2196f3"/>
          <w:sz w:val="18"/>
          <w:szCs w:val="18"/>
        </w:rPr>
      </w:pPr>
      <w:bookmarkStart w:colFirst="0" w:colLast="0" w:name="_gjdgxs" w:id="0"/>
      <w:bookmarkEnd w:id="0"/>
      <w:r w:rsidDel="00000000" w:rsidR="00000000" w:rsidRPr="00000000">
        <w:rPr>
          <w:rtl w:val="0"/>
        </w:rPr>
      </w:r>
    </w:p>
    <w:tbl>
      <w:tblPr>
        <w:tblStyle w:val="Table1"/>
        <w:tblW w:w="9645.0" w:type="dxa"/>
        <w:jc w:val="lef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pageBreakBefore w:val="0"/>
              <w:spacing w:line="240" w:lineRule="auto"/>
              <w:jc w:val="center"/>
              <w:rPr>
                <w:b w:val="1"/>
                <w:color w:val="4285f4"/>
                <w:sz w:val="50"/>
                <w:szCs w:val="50"/>
              </w:rPr>
            </w:pPr>
            <w:bookmarkStart w:colFirst="0" w:colLast="0" w:name="_30j0zll" w:id="1"/>
            <w:bookmarkEnd w:id="1"/>
            <w:r w:rsidDel="00000000" w:rsidR="00000000" w:rsidRPr="00000000">
              <w:rPr>
                <w:b w:val="1"/>
                <w:color w:val="4285f4"/>
                <w:sz w:val="50"/>
                <w:szCs w:val="50"/>
              </w:rPr>
              <w:drawing>
                <wp:inline distB="114300" distT="114300" distL="114300" distR="114300">
                  <wp:extent cx="1871775" cy="1366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775" cy="13666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line="240" w:lineRule="auto"/>
              <w:jc w:val="center"/>
              <w:rPr>
                <w:color w:val="666666"/>
                <w:sz w:val="50"/>
                <w:szCs w:val="50"/>
              </w:rPr>
            </w:pPr>
            <w:r w:rsidDel="00000000" w:rsidR="00000000" w:rsidRPr="00000000">
              <w:rPr>
                <w:color w:val="666666"/>
                <w:sz w:val="50"/>
                <w:szCs w:val="50"/>
                <w:rtl w:val="0"/>
              </w:rPr>
              <w:t xml:space="preserve">Project Plant Pals</w:t>
            </w:r>
          </w:p>
          <w:p w:rsidR="00000000" w:rsidDel="00000000" w:rsidP="00000000" w:rsidRDefault="00000000" w:rsidRPr="00000000" w14:paraId="00000004">
            <w:pPr>
              <w:pageBreakBefore w:val="0"/>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6" w:type="dxa"/>
              <w:left w:w="129.6" w:type="dxa"/>
              <w:bottom w:w="129.6" w:type="dxa"/>
              <w:right w:w="129.6" w:type="dxa"/>
            </w:tcMar>
            <w:vAlign w:val="top"/>
          </w:tcPr>
          <w:p w:rsidR="00000000" w:rsidDel="00000000" w:rsidP="00000000" w:rsidRDefault="00000000" w:rsidRPr="00000000" w14:paraId="00000006">
            <w:pPr>
              <w:pageBreakBefore w:val="0"/>
              <w:spacing w:after="200" w:line="240" w:lineRule="auto"/>
              <w:ind w:right="-4425.472440944882"/>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7">
            <w:pPr>
              <w:pageBreakBefore w:val="0"/>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Project Manager</w:t>
            </w:r>
          </w:p>
          <w:p w:rsidR="00000000" w:rsidDel="00000000" w:rsidP="00000000" w:rsidRDefault="00000000" w:rsidRPr="00000000" w14:paraId="00000008">
            <w:pPr>
              <w:pageBreakBefore w:val="0"/>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Draft / Final </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9">
            <w:pPr>
              <w:pageBreakBefore w:val="0"/>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Mar 1</w:t>
            </w:r>
          </w:p>
          <w:p w:rsidR="00000000" w:rsidDel="00000000" w:rsidP="00000000" w:rsidRDefault="00000000" w:rsidRPr="00000000" w14:paraId="0000000A">
            <w:pPr>
              <w:pageBreakBefore w:val="0"/>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Mar 31</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B">
            <w:pPr>
              <w:pageBreakBefore w:val="0"/>
              <w:spacing w:line="240" w:lineRule="auto"/>
              <w:rPr>
                <w:color w:val="424242"/>
                <w:sz w:val="18"/>
                <w:szCs w:val="18"/>
              </w:rPr>
            </w:pPr>
            <w:r w:rsidDel="00000000" w:rsidR="00000000" w:rsidRPr="00000000">
              <w:rPr>
                <w:rtl w:val="0"/>
              </w:rPr>
            </w:r>
          </w:p>
        </w:tc>
      </w:tr>
      <w:tr>
        <w:trPr>
          <w:cantSplit w:val="0"/>
          <w:trHeight w:val="75" w:hRule="atLeast"/>
          <w:tblHeader w:val="0"/>
        </w:trPr>
        <w:tc>
          <w:tcPr>
            <w:gridSpan w:val="3"/>
            <w:tcBorders>
              <w:top w:color="34a853" w:space="0" w:sz="8"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C">
            <w:pPr>
              <w:pageBreakBefore w:val="0"/>
              <w:spacing w:line="240" w:lineRule="auto"/>
              <w:rPr>
                <w:color w:val="ffffff"/>
              </w:rPr>
            </w:pPr>
            <w:r w:rsidDel="00000000" w:rsidR="00000000" w:rsidRPr="00000000">
              <w:rPr>
                <w:rtl w:val="0"/>
              </w:rPr>
            </w:r>
          </w:p>
        </w:tc>
      </w:tr>
    </w:tbl>
    <w:p w:rsidR="00000000" w:rsidDel="00000000" w:rsidP="00000000" w:rsidRDefault="00000000" w:rsidRPr="00000000" w14:paraId="0000000F">
      <w:pPr>
        <w:pStyle w:val="Heading1"/>
        <w:keepNext w:val="0"/>
        <w:keepLines w:val="0"/>
        <w:pageBreakBefore w:val="0"/>
        <w:widowControl w:val="0"/>
        <w:spacing w:after="240" w:before="480" w:lineRule="auto"/>
        <w:rPr>
          <w:color w:val="34a853"/>
          <w:sz w:val="32"/>
          <w:szCs w:val="32"/>
        </w:rPr>
      </w:pPr>
      <w:bookmarkStart w:colFirst="0" w:colLast="0" w:name="_1fob9te" w:id="2"/>
      <w:bookmarkEnd w:id="2"/>
      <w:r w:rsidDel="00000000" w:rsidR="00000000" w:rsidRPr="00000000">
        <w:rPr>
          <w:color w:val="34a853"/>
          <w:sz w:val="32"/>
          <w:szCs w:val="32"/>
          <w:rtl w:val="0"/>
        </w:rPr>
        <w:t xml:space="preserve">Objective</w:t>
      </w:r>
    </w:p>
    <w:p w:rsidR="00000000" w:rsidDel="00000000" w:rsidP="00000000" w:rsidRDefault="00000000" w:rsidRPr="00000000" w14:paraId="00000010">
      <w:pPr>
        <w:pageBreakBefore w:val="0"/>
        <w:widowControl w:val="0"/>
        <w:rPr>
          <w:color w:val="434343"/>
        </w:rPr>
      </w:pPr>
      <w:r w:rsidDel="00000000" w:rsidR="00000000" w:rsidRPr="00000000">
        <w:rPr>
          <w:color w:val="434343"/>
          <w:rtl w:val="0"/>
        </w:rPr>
        <w:t xml:space="preserve">The objective of this document is to outline risks to Project Plant Pals operation launch and the plans to mitigate those risks.</w:t>
      </w:r>
    </w:p>
    <w:p w:rsidR="00000000" w:rsidDel="00000000" w:rsidP="00000000" w:rsidRDefault="00000000" w:rsidRPr="00000000" w14:paraId="00000011">
      <w:pPr>
        <w:pageBreakBefore w:val="0"/>
        <w:widowControl w:val="0"/>
        <w:rPr>
          <w:color w:val="1976d2"/>
          <w:sz w:val="32"/>
          <w:szCs w:val="32"/>
        </w:rPr>
      </w:pPr>
      <w:r w:rsidDel="00000000" w:rsidR="00000000" w:rsidRPr="00000000">
        <w:rPr>
          <w:rtl w:val="0"/>
        </w:rPr>
      </w:r>
    </w:p>
    <w:p w:rsidR="00000000" w:rsidDel="00000000" w:rsidP="00000000" w:rsidRDefault="00000000" w:rsidRPr="00000000" w14:paraId="00000012">
      <w:pPr>
        <w:pageBreakBefore w:val="0"/>
        <w:widowControl w:val="0"/>
        <w:rPr>
          <w:color w:val="34a853"/>
          <w:sz w:val="32"/>
          <w:szCs w:val="32"/>
        </w:rPr>
      </w:pPr>
      <w:r w:rsidDel="00000000" w:rsidR="00000000" w:rsidRPr="00000000">
        <w:rPr>
          <w:color w:val="34a853"/>
          <w:sz w:val="32"/>
          <w:szCs w:val="32"/>
          <w:rtl w:val="0"/>
        </w:rPr>
        <w:t xml:space="preserve">Executive Summary</w:t>
      </w:r>
    </w:p>
    <w:p w:rsidR="00000000" w:rsidDel="00000000" w:rsidP="00000000" w:rsidRDefault="00000000" w:rsidRPr="00000000" w14:paraId="00000013">
      <w:pPr>
        <w:pageBreakBefore w:val="0"/>
        <w:widowControl w:val="0"/>
        <w:rPr>
          <w:color w:val="434343"/>
        </w:rPr>
      </w:pPr>
      <w:r w:rsidDel="00000000" w:rsidR="00000000" w:rsidRPr="00000000">
        <w:rPr>
          <w:color w:val="434343"/>
          <w:rtl w:val="0"/>
        </w:rPr>
        <w:t xml:space="preserve">Office Green plans to launch the Plant Pals operations within six months. The operations team will establish a delivery plan, set up operations software for inventory and supply chain management, and develop and implement an employee training program. There are two primary types of risk to this project: budget and schedule. Review the tables below for risks to this project, and mitigation plans to address them.</w:t>
      </w:r>
    </w:p>
    <w:p w:rsidR="00000000" w:rsidDel="00000000" w:rsidP="00000000" w:rsidRDefault="00000000" w:rsidRPr="00000000" w14:paraId="00000014">
      <w:pPr>
        <w:pageBreakBefore w:val="0"/>
        <w:widowControl w:val="0"/>
        <w:rPr>
          <w:b w:val="1"/>
          <w:color w:val="434343"/>
        </w:rPr>
      </w:pPr>
      <w:r w:rsidDel="00000000" w:rsidR="00000000" w:rsidRPr="00000000">
        <w:rPr>
          <w:rtl w:val="0"/>
        </w:rPr>
      </w:r>
    </w:p>
    <w:p w:rsidR="00000000" w:rsidDel="00000000" w:rsidP="00000000" w:rsidRDefault="00000000" w:rsidRPr="00000000" w14:paraId="00000015">
      <w:pPr>
        <w:pageBreakBefore w:val="0"/>
        <w:widowControl w:val="0"/>
        <w:rPr>
          <w:b w:val="1"/>
          <w:color w:val="434343"/>
        </w:rPr>
      </w:pPr>
      <w:r w:rsidDel="00000000" w:rsidR="00000000" w:rsidRPr="00000000">
        <w:rPr>
          <w:b w:val="1"/>
          <w:color w:val="434343"/>
          <w:rtl w:val="0"/>
        </w:rPr>
        <w:t xml:space="preserve">RISK TYPE ONE: You are at risk of going over budget</w:t>
      </w:r>
    </w:p>
    <w:p w:rsidR="00000000" w:rsidDel="00000000" w:rsidP="00000000" w:rsidRDefault="00000000" w:rsidRPr="00000000" w14:paraId="00000016">
      <w:pPr>
        <w:pageBreakBefore w:val="0"/>
        <w:widowControl w:val="0"/>
        <w:rPr>
          <w:b w:val="1"/>
          <w:color w:val="434343"/>
        </w:rPr>
      </w:pPr>
      <w:r w:rsidDel="00000000" w:rsidR="00000000" w:rsidRPr="00000000">
        <w:rPr>
          <w:rtl w:val="0"/>
        </w:rPr>
      </w:r>
    </w:p>
    <w:tbl>
      <w:tblPr>
        <w:tblStyle w:val="Table2"/>
        <w:tblW w:w="8636.315789473683"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3210"/>
        <w:gridCol w:w="1620"/>
        <w:gridCol w:w="3806.3157894736837"/>
        <w:tblGridChange w:id="0">
          <w:tblGrid>
            <w:gridCol w:w="3210"/>
            <w:gridCol w:w="1620"/>
            <w:gridCol w:w="3806.3157894736837"/>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b w:val="1"/>
                <w:color w:val="434343"/>
              </w:rPr>
            </w:pPr>
            <w:r w:rsidDel="00000000" w:rsidR="00000000" w:rsidRPr="00000000">
              <w:rPr>
                <w:b w:val="1"/>
                <w:color w:val="434343"/>
                <w:rtl w:val="0"/>
              </w:rPr>
              <w:t xml:space="preserve">Risk to Project</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rHeight w:val="88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highlight w:val="white"/>
                <w:rtl w:val="0"/>
              </w:rPr>
              <w:t xml:space="preserve">A product vendor loses a product shipment.</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b w:val="1"/>
                <w:color w:val="6aa84f"/>
              </w:rPr>
            </w:pPr>
            <w:r w:rsidDel="00000000" w:rsidR="00000000" w:rsidRPr="00000000">
              <w:rPr>
                <w:b w:val="1"/>
                <w:color w:val="6aa84f"/>
                <w:rtl w:val="0"/>
              </w:rPr>
              <w:t xml:space="preserve">Low</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b w:val="1"/>
                <w:highlight w:val="white"/>
                <w:rtl w:val="0"/>
              </w:rPr>
              <w:t xml:space="preserve">Accept</w:t>
            </w:r>
            <w:r w:rsidDel="00000000" w:rsidR="00000000" w:rsidRPr="00000000">
              <w:rPr>
                <w:highlight w:val="white"/>
                <w:rtl w:val="0"/>
              </w:rPr>
              <w:t xml:space="preserve"> the risk and monitor. Keep other vendors' estimates on hand and maintain good business relations just in case.</w:t>
            </w:r>
            <w:r w:rsidDel="00000000" w:rsidR="00000000" w:rsidRPr="00000000">
              <w:rPr>
                <w:rtl w:val="0"/>
              </w:rPr>
            </w:r>
          </w:p>
        </w:tc>
      </w:tr>
      <w:tr>
        <w:trPr>
          <w:cantSplit w:val="0"/>
          <w:trHeight w:val="783.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highlight w:val="white"/>
                <w:rtl w:val="0"/>
              </w:rPr>
              <w:t xml:space="preserve">A product vendor charges a higher rate than expected.</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highlight w:val="white"/>
              </w:rPr>
            </w:pPr>
            <w:r w:rsidDel="00000000" w:rsidR="00000000" w:rsidRPr="00000000">
              <w:rPr>
                <w:b w:val="1"/>
                <w:color w:val="e69138"/>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b w:val="1"/>
                <w:highlight w:val="white"/>
                <w:rtl w:val="0"/>
              </w:rPr>
              <w:t xml:space="preserve">Control</w:t>
            </w:r>
            <w:r w:rsidDel="00000000" w:rsidR="00000000" w:rsidRPr="00000000">
              <w:rPr>
                <w:highlight w:val="white"/>
                <w:rtl w:val="0"/>
              </w:rPr>
              <w:t xml:space="preserve"> the risk by getting estimates from multiple vendors and negotiating</w:t>
            </w:r>
            <w:r w:rsidDel="00000000" w:rsidR="00000000" w:rsidRPr="00000000">
              <w:rPr>
                <w:highlight w:val="white"/>
                <w:rtl w:val="0"/>
              </w:rPr>
              <w:t xml:space="preserve"> or modifying the SoW to stay within budget.</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highlight w:val="white"/>
                <w:rtl w:val="0"/>
              </w:rPr>
              <w:t xml:space="preserve">Each delivery truck costs $16,000 more than initially quoted. </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highlight w:val="white"/>
              </w:rPr>
            </w:pPr>
            <w:r w:rsidDel="00000000" w:rsidR="00000000" w:rsidRPr="00000000">
              <w:rPr>
                <w:b w:val="1"/>
                <w:color w:val="e06666"/>
                <w:rtl w:val="0"/>
              </w:rPr>
              <w:t xml:space="preserve">High</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b w:val="1"/>
                <w:highlight w:val="white"/>
                <w:rtl w:val="0"/>
              </w:rPr>
              <w:t xml:space="preserve">Avoid</w:t>
            </w:r>
            <w:r w:rsidDel="00000000" w:rsidR="00000000" w:rsidRPr="00000000">
              <w:rPr>
                <w:highlight w:val="white"/>
                <w:rtl w:val="0"/>
              </w:rPr>
              <w:t xml:space="preserve"> the risk by using lower-cost options for delivery, such as purchasing used trucks or renting trucks until customer demand outweighs the cost of the new trucks.</w:t>
            </w:r>
            <w:r w:rsidDel="00000000" w:rsidR="00000000" w:rsidRPr="00000000">
              <w:rPr>
                <w:rtl w:val="0"/>
              </w:rPr>
            </w:r>
          </w:p>
        </w:tc>
      </w:tr>
    </w:tbl>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widowControl w:val="0"/>
        <w:rPr>
          <w:b w:val="1"/>
          <w:color w:val="434343"/>
        </w:rPr>
      </w:pPr>
      <w:r w:rsidDel="00000000" w:rsidR="00000000" w:rsidRPr="00000000">
        <w:rPr>
          <w:b w:val="1"/>
          <w:color w:val="434343"/>
          <w:rtl w:val="0"/>
        </w:rPr>
        <w:t xml:space="preserve">RISK TYPE TWO: You are at risk of falling behind schedule to train employees</w:t>
      </w:r>
    </w:p>
    <w:p w:rsidR="00000000" w:rsidDel="00000000" w:rsidP="00000000" w:rsidRDefault="00000000" w:rsidRPr="00000000" w14:paraId="00000026">
      <w:pPr>
        <w:pageBreakBefore w:val="0"/>
        <w:widowControl w:val="0"/>
        <w:rPr>
          <w:b w:val="1"/>
          <w:color w:val="434343"/>
        </w:rPr>
      </w:pPr>
      <w:r w:rsidDel="00000000" w:rsidR="00000000" w:rsidRPr="00000000">
        <w:rPr>
          <w:rtl w:val="0"/>
        </w:rPr>
      </w:r>
    </w:p>
    <w:p w:rsidR="00000000" w:rsidDel="00000000" w:rsidP="00000000" w:rsidRDefault="00000000" w:rsidRPr="00000000" w14:paraId="00000027">
      <w:pPr>
        <w:pageBreakBefore w:val="0"/>
        <w:widowControl w:val="0"/>
        <w:rPr>
          <w:b w:val="1"/>
          <w:color w:val="434343"/>
        </w:rPr>
      </w:pPr>
      <w:r w:rsidDel="00000000" w:rsidR="00000000" w:rsidRPr="00000000">
        <w:rPr>
          <w:b w:val="1"/>
          <w:color w:val="434343"/>
          <w:rtl w:val="0"/>
        </w:rPr>
        <w:t xml:space="preserve"> </w:t>
      </w:r>
    </w:p>
    <w:tbl>
      <w:tblPr>
        <w:tblStyle w:val="Table3"/>
        <w:tblW w:w="8636.315789473683"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3255"/>
        <w:gridCol w:w="1575"/>
        <w:gridCol w:w="3806.3157894736837"/>
        <w:tblGridChange w:id="0">
          <w:tblGrid>
            <w:gridCol w:w="3255"/>
            <w:gridCol w:w="1575"/>
            <w:gridCol w:w="3806.3157894736837"/>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b w:val="1"/>
                <w:color w:val="434343"/>
              </w:rPr>
            </w:pPr>
            <w:r w:rsidDel="00000000" w:rsidR="00000000" w:rsidRPr="00000000">
              <w:rPr>
                <w:b w:val="1"/>
                <w:color w:val="434343"/>
                <w:rtl w:val="0"/>
              </w:rPr>
              <w:t xml:space="preserve">Risk to project</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Your employee trainer gets sick and misses a week of training.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b w:val="1"/>
                <w:color w:val="6aa84f"/>
                <w:rtl w:val="0"/>
              </w:rPr>
              <w:t xml:space="preserve">Low</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b w:val="1"/>
                <w:highlight w:val="white"/>
                <w:rtl w:val="0"/>
              </w:rPr>
              <w:t xml:space="preserve">Accept</w:t>
            </w:r>
            <w:r w:rsidDel="00000000" w:rsidR="00000000" w:rsidRPr="00000000">
              <w:rPr>
                <w:highlight w:val="white"/>
                <w:rtl w:val="0"/>
              </w:rPr>
              <w:t xml:space="preserve"> the risk and monitor. Perhaps add</w:t>
            </w:r>
            <w:r w:rsidDel="00000000" w:rsidR="00000000" w:rsidRPr="00000000">
              <w:rPr>
                <w:highlight w:val="white"/>
                <w:rtl w:val="0"/>
              </w:rPr>
              <w:t xml:space="preserve"> a small buffer to date estimates for training completion.</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More than 50% of employees quit after a difficult training process, leaving the company short-staffed.</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b w:val="1"/>
                <w:color w:val="e69138"/>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b w:val="1"/>
                <w:rtl w:val="0"/>
              </w:rPr>
              <w:t xml:space="preserve">Control</w:t>
            </w:r>
            <w:r w:rsidDel="00000000" w:rsidR="00000000" w:rsidRPr="00000000">
              <w:rPr>
                <w:rtl w:val="0"/>
              </w:rPr>
              <w:t xml:space="preserve"> the risk by meeting with the Training Manager regularly to streamline training plans and limit difficulty. Add employee incentive for finishing the training program. </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highlight w:val="white"/>
                <w:rtl w:val="0"/>
              </w:rPr>
              <w:t xml:space="preserve">You cannot hire employees in time to train them before launch.</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color w:val="e69138"/>
                <w:highlight w:val="white"/>
              </w:rPr>
            </w:pPr>
            <w:r w:rsidDel="00000000" w:rsidR="00000000" w:rsidRPr="00000000">
              <w:rPr>
                <w:b w:val="1"/>
                <w:color w:val="e69138"/>
                <w:rtl w:val="0"/>
              </w:rPr>
              <w:t xml:space="preserve">Medium</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b w:val="1"/>
                <w:highlight w:val="white"/>
                <w:rtl w:val="0"/>
              </w:rPr>
              <w:t xml:space="preserve">Control </w:t>
            </w:r>
            <w:r w:rsidDel="00000000" w:rsidR="00000000" w:rsidRPr="00000000">
              <w:rPr>
                <w:highlight w:val="white"/>
                <w:rtl w:val="0"/>
              </w:rPr>
              <w:t xml:space="preserve">the risk by working closely with the Hiring Manager throughout the process. Add additional staff to help with the hiring process and work with Human Resources to hold hiring fairs and events to attract large groups of potential employees.</w:t>
            </w:r>
            <w:r w:rsidDel="00000000" w:rsidR="00000000" w:rsidRPr="00000000">
              <w:rPr>
                <w:rtl w:val="0"/>
              </w:rPr>
            </w:r>
          </w:p>
        </w:tc>
      </w:tr>
    </w:tbl>
    <w:p w:rsidR="00000000" w:rsidDel="00000000" w:rsidP="00000000" w:rsidRDefault="00000000" w:rsidRPr="00000000" w14:paraId="00000034">
      <w:pPr>
        <w:pageBreakBefore w:val="0"/>
        <w:rPr>
          <w:sz w:val="28"/>
          <w:szCs w:val="28"/>
        </w:rPr>
      </w:pPr>
      <w:r w:rsidDel="00000000" w:rsidR="00000000" w:rsidRPr="00000000">
        <w:rPr>
          <w:rtl w:val="0"/>
        </w:rPr>
      </w:r>
    </w:p>
    <w:p w:rsidR="00000000" w:rsidDel="00000000" w:rsidP="00000000" w:rsidRDefault="00000000" w:rsidRPr="00000000" w14:paraId="00000035">
      <w:pPr>
        <w:pageBreakBefore w:val="0"/>
        <w:rPr>
          <w:sz w:val="28"/>
          <w:szCs w:val="28"/>
        </w:rPr>
      </w:pPr>
      <w:r w:rsidDel="00000000" w:rsidR="00000000" w:rsidRPr="00000000">
        <w:rPr>
          <w:rtl w:val="0"/>
        </w:rPr>
      </w:r>
    </w:p>
    <w:p w:rsidR="00000000" w:rsidDel="00000000" w:rsidP="00000000" w:rsidRDefault="00000000" w:rsidRPr="00000000" w14:paraId="00000036">
      <w:pPr>
        <w:pageBreakBefore w:val="0"/>
        <w:rPr>
          <w:sz w:val="28"/>
          <w:szCs w:val="28"/>
        </w:rPr>
      </w:pPr>
      <w:r w:rsidDel="00000000" w:rsidR="00000000" w:rsidRPr="00000000">
        <w:rPr>
          <w:rtl w:val="0"/>
        </w:rPr>
      </w:r>
    </w:p>
    <w:p w:rsidR="00000000" w:rsidDel="00000000" w:rsidP="00000000" w:rsidRDefault="00000000" w:rsidRPr="00000000" w14:paraId="00000037">
      <w:pPr>
        <w:pageBreakBefore w:val="0"/>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Probability chart:</w:t>
      </w:r>
    </w:p>
    <w:p w:rsidR="00000000" w:rsidDel="00000000" w:rsidP="00000000" w:rsidRDefault="00000000" w:rsidRPr="00000000" w14:paraId="0000003A">
      <w:pPr>
        <w:pageBreakBefore w:val="0"/>
        <w:rPr/>
      </w:pPr>
      <w:r w:rsidDel="00000000" w:rsidR="00000000" w:rsidRPr="00000000">
        <w:rPr>
          <w:rtl w:val="0"/>
        </w:rPr>
      </w:r>
    </w:p>
    <w:tbl>
      <w:tblPr>
        <w:tblStyle w:val="Table4"/>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3B">
            <w:pPr>
              <w:pageBreakBefore w:val="0"/>
              <w:widowControl w:val="0"/>
              <w:jc w:val="center"/>
              <w:rPr>
                <w:b w:val="1"/>
                <w:color w:val="ffffff"/>
              </w:rPr>
            </w:pPr>
            <w:r w:rsidDel="00000000" w:rsidR="00000000" w:rsidRPr="00000000">
              <w:rPr>
                <w:b w:val="1"/>
                <w:color w:val="ffffff"/>
                <w:rtl w:val="0"/>
              </w:rPr>
              <w:t xml:space="preserve">Probability</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pageBreakBefore w:val="0"/>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pageBreakBefore w:val="0"/>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pageBreakBefore w:val="0"/>
              <w:widowControl w:val="0"/>
              <w:jc w:val="center"/>
              <w:rPr>
                <w:b w:val="1"/>
              </w:rPr>
            </w:pPr>
            <w:r w:rsidDel="00000000" w:rsidR="00000000" w:rsidRPr="00000000">
              <w:rPr>
                <w:b w:val="1"/>
                <w:rtl w:val="0"/>
              </w:rPr>
              <w:t xml:space="preserve">Quantitative (if measurable)</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1">
            <w:pPr>
              <w:pageBreakBefore w:val="0"/>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pageBreakBefore w:val="0"/>
              <w:widowControl w:val="0"/>
              <w:rPr/>
            </w:pPr>
            <w:r w:rsidDel="00000000" w:rsidR="00000000" w:rsidRPr="00000000">
              <w:rPr>
                <w:rtl w:val="0"/>
              </w:rPr>
              <w:t xml:space="preserve">Very low chance of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pageBreakBefore w:val="0"/>
              <w:widowControl w:val="0"/>
              <w:rPr/>
            </w:pPr>
            <w:r w:rsidDel="00000000" w:rsidR="00000000" w:rsidRPr="00000000">
              <w:rPr>
                <w:rtl w:val="0"/>
              </w:rPr>
              <w:t xml:space="preserve">Less than &lt;10%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7">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pageBreakBefore w:val="0"/>
              <w:widowControl w:val="0"/>
              <w:rPr/>
            </w:pPr>
            <w:r w:rsidDel="00000000" w:rsidR="00000000" w:rsidRPr="00000000">
              <w:rPr>
                <w:rtl w:val="0"/>
              </w:rPr>
              <w:t xml:space="preserve">Medium chance of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pageBreakBefore w:val="0"/>
              <w:widowControl w:val="0"/>
              <w:rPr/>
            </w:pPr>
            <w:r w:rsidDel="00000000" w:rsidR="00000000" w:rsidRPr="00000000">
              <w:rPr>
                <w:rtl w:val="0"/>
              </w:rPr>
              <w:t xml:space="preserve">10%-49% chance of risk occurring.</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A">
            <w:pPr>
              <w:pageBreakBefore w:val="0"/>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pageBreakBefore w:val="0"/>
              <w:widowControl w:val="0"/>
              <w:rPr/>
            </w:pPr>
            <w:r w:rsidDel="00000000" w:rsidR="00000000" w:rsidRPr="00000000">
              <w:rPr>
                <w:rtl w:val="0"/>
              </w:rPr>
              <w:t xml:space="preserve">High chance of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pageBreakBefore w:val="0"/>
              <w:widowControl w:val="0"/>
              <w:rPr/>
            </w:pPr>
            <w:r w:rsidDel="00000000" w:rsidR="00000000" w:rsidRPr="00000000">
              <w:rPr>
                <w:rtl w:val="0"/>
              </w:rPr>
              <w:t xml:space="preserve">50%-100%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Impact chart:</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tbl>
      <w:tblPr>
        <w:tblStyle w:val="Table5"/>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spacing w:line="276" w:lineRule="auto"/>
              <w:rPr/>
            </w:pPr>
            <w:r w:rsidDel="00000000" w:rsidR="00000000" w:rsidRPr="00000000">
              <w:rPr>
                <w:rtl w:val="0"/>
              </w:rPr>
              <w:t xml:space="preserve">Low financial impact, </w:t>
            </w:r>
          </w:p>
          <w:p w:rsidR="00000000" w:rsidDel="00000000" w:rsidP="00000000" w:rsidRDefault="00000000" w:rsidRPr="00000000" w14:paraId="0000005B">
            <w:pPr>
              <w:pageBreakBefore w:val="0"/>
              <w:widowControl w:val="0"/>
              <w:spacing w:line="276" w:lineRule="auto"/>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276" w:lineRule="auto"/>
              <w:rPr/>
            </w:pPr>
            <w:r w:rsidDel="00000000" w:rsidR="00000000" w:rsidRPr="00000000">
              <w:rPr>
                <w:rtl w:val="0"/>
              </w:rPr>
              <w:t xml:space="preserve">Medium financial impact, </w:t>
            </w:r>
          </w:p>
          <w:p w:rsidR="00000000" w:rsidDel="00000000" w:rsidP="00000000" w:rsidRDefault="00000000" w:rsidRPr="00000000" w14:paraId="0000005D">
            <w:pPr>
              <w:pageBreakBefore w:val="0"/>
              <w:widowControl w:val="0"/>
              <w:spacing w:line="276" w:lineRule="auto"/>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line="276" w:lineRule="auto"/>
              <w:rPr/>
            </w:pPr>
            <w:r w:rsidDel="00000000" w:rsidR="00000000" w:rsidRPr="00000000">
              <w:rPr>
                <w:rtl w:val="0"/>
              </w:rPr>
              <w:t xml:space="preserve">High financial impact, </w:t>
            </w:r>
          </w:p>
          <w:p w:rsidR="00000000" w:rsidDel="00000000" w:rsidP="00000000" w:rsidRDefault="00000000" w:rsidRPr="00000000" w14:paraId="0000005F">
            <w:pPr>
              <w:pageBreakBefore w:val="0"/>
              <w:widowControl w:val="0"/>
              <w:spacing w:line="276" w:lineRule="auto"/>
              <w:rPr/>
            </w:pPr>
            <w:r w:rsidDel="00000000" w:rsidR="00000000" w:rsidRPr="00000000">
              <w:rPr>
                <w:rtl w:val="0"/>
              </w:rPr>
              <w:t xml:space="preserve">costing the company $30,000 or more</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spacing w:line="276" w:lineRule="auto"/>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line="276" w:lineRule="auto"/>
              <w:rPr/>
            </w:pPr>
            <w:r w:rsidDel="00000000" w:rsidR="00000000" w:rsidRPr="00000000">
              <w:rPr>
                <w:rtl w:val="0"/>
              </w:rPr>
              <w:t xml:space="preserve">Medium impact to project operations, </w:t>
            </w:r>
          </w:p>
          <w:p w:rsidR="00000000" w:rsidDel="00000000" w:rsidP="00000000" w:rsidRDefault="00000000" w:rsidRPr="00000000" w14:paraId="00000063">
            <w:pPr>
              <w:pageBreakBefore w:val="0"/>
              <w:widowControl w:val="0"/>
              <w:spacing w:line="276" w:lineRule="auto"/>
              <w:rPr/>
            </w:pPr>
            <w:r w:rsidDel="00000000" w:rsidR="00000000" w:rsidRPr="00000000">
              <w:rPr>
                <w:rtl w:val="0"/>
              </w:rPr>
              <w:t xml:space="preserve">with potential to delay project by a month or more</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line="276" w:lineRule="auto"/>
              <w:rPr/>
            </w:pPr>
            <w:r w:rsidDel="00000000" w:rsidR="00000000" w:rsidRPr="00000000">
              <w:rPr>
                <w:rtl w:val="0"/>
              </w:rPr>
              <w:t xml:space="preserve">High impact to project operations, </w:t>
            </w:r>
          </w:p>
          <w:p w:rsidR="00000000" w:rsidDel="00000000" w:rsidP="00000000" w:rsidRDefault="00000000" w:rsidRPr="00000000" w14:paraId="00000065">
            <w:pPr>
              <w:pageBreakBefore w:val="0"/>
              <w:widowControl w:val="0"/>
              <w:spacing w:line="276" w:lineRule="auto"/>
              <w:rPr/>
            </w:pPr>
            <w:r w:rsidDel="00000000" w:rsidR="00000000" w:rsidRPr="00000000">
              <w:rPr>
                <w:rtl w:val="0"/>
              </w:rPr>
              <w:t xml:space="preserve">with potential to cause project failure</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7">
            <w:pPr>
              <w:pageBreakBefore w:val="0"/>
              <w:spacing w:line="276" w:lineRule="auto"/>
              <w:rPr>
                <w:sz w:val="26"/>
                <w:szCs w:val="26"/>
              </w:rPr>
            </w:pPr>
            <w:r w:rsidDel="00000000" w:rsidR="00000000" w:rsidRPr="00000000">
              <w:rPr>
                <w:rtl w:val="0"/>
              </w:rPr>
              <w:t xml:space="preserve">Low impact to employee attrition, causing 5%+ of employee turnover</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8">
            <w:pPr>
              <w:pageBreakBefore w:val="0"/>
              <w:spacing w:line="276" w:lineRule="auto"/>
              <w:rPr>
                <w:sz w:val="26"/>
                <w:szCs w:val="26"/>
              </w:rPr>
            </w:pPr>
            <w:r w:rsidDel="00000000" w:rsidR="00000000" w:rsidRPr="00000000">
              <w:rPr>
                <w:rtl w:val="0"/>
              </w:rPr>
              <w:t xml:space="preserve">Medium impact to employee attrition, causing 25%+ of employee turnover</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9">
            <w:pPr>
              <w:pageBreakBefore w:val="0"/>
              <w:spacing w:line="276" w:lineRule="auto"/>
              <w:rPr>
                <w:sz w:val="26"/>
                <w:szCs w:val="26"/>
              </w:rPr>
            </w:pPr>
            <w:r w:rsidDel="00000000" w:rsidR="00000000" w:rsidRPr="00000000">
              <w:rPr>
                <w:rtl w:val="0"/>
              </w:rPr>
              <w:t xml:space="preserve">High impact to employee attrition, causing 50%+ of employee turnover</w:t>
            </w:r>
            <w:r w:rsidDel="00000000" w:rsidR="00000000" w:rsidRPr="00000000">
              <w:rPr>
                <w:rtl w:val="0"/>
              </w:rPr>
            </w:r>
          </w:p>
        </w:tc>
      </w:tr>
    </w:tbl>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Probability and Impact Matrix:</w:t>
      </w:r>
    </w:p>
    <w:p w:rsidR="00000000" w:rsidDel="00000000" w:rsidP="00000000" w:rsidRDefault="00000000" w:rsidRPr="00000000" w14:paraId="0000006E">
      <w:pPr>
        <w:pageBreakBefore w:val="0"/>
        <w:rPr/>
      </w:pPr>
      <w:r w:rsidDel="00000000" w:rsidR="00000000" w:rsidRPr="00000000">
        <w:rPr>
          <w:rtl w:val="0"/>
        </w:rPr>
      </w:r>
    </w:p>
    <w:tbl>
      <w:tblPr>
        <w:tblStyle w:val="Table6"/>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15"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6F">
            <w:pPr>
              <w:pageBreakBefore w:val="0"/>
              <w:widowControl w:val="0"/>
              <w:jc w:val="center"/>
              <w:rPr>
                <w:b w:val="1"/>
                <w:color w:val="ffffff"/>
              </w:rPr>
            </w:pPr>
            <w:r w:rsidDel="00000000" w:rsidR="00000000" w:rsidRPr="00000000">
              <w:rPr>
                <w:b w:val="1"/>
                <w:color w:val="ffffff"/>
                <w:rtl w:val="0"/>
              </w:rPr>
              <w:t xml:space="preserve">Inherent Risk</w:t>
            </w:r>
          </w:p>
        </w:tc>
      </w:tr>
      <w:tr>
        <w:trPr>
          <w:cantSplit w:val="0"/>
          <w:trHeight w:val="315"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pageBreakBefore w:val="0"/>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6">
            <w:pPr>
              <w:pageBreakBefore w:val="0"/>
              <w:widowControl w:val="0"/>
              <w:jc w:val="center"/>
              <w:rPr>
                <w:b w:val="1"/>
              </w:rPr>
            </w:pPr>
            <w:r w:rsidDel="00000000" w:rsidR="00000000" w:rsidRPr="00000000">
              <w:rPr>
                <w:b w:val="1"/>
                <w:rtl w:val="0"/>
              </w:rPr>
              <w:t xml:space="preserve">Impact</w:t>
            </w:r>
          </w:p>
        </w:tc>
      </w:tr>
      <w:tr>
        <w:trPr>
          <w:cantSplit w:val="0"/>
          <w:trHeight w:val="315"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pageBreakBefore w:val="0"/>
              <w:widowControl w:val="0"/>
              <w:jc w:val="center"/>
              <w:rPr>
                <w:b w:val="1"/>
              </w:rPr>
            </w:pPr>
            <w:r w:rsidDel="00000000" w:rsidR="00000000" w:rsidRPr="00000000">
              <w:rPr>
                <w:b w:val="1"/>
                <w:rtl w:val="0"/>
              </w:rPr>
              <w:t xml:space="preserve">High</w:t>
            </w:r>
          </w:p>
        </w:tc>
      </w:tr>
      <w:tr>
        <w:trPr>
          <w:cantSplit w:val="0"/>
          <w:trHeight w:val="315"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E">
            <w:pPr>
              <w:pageBreakBefore w:val="0"/>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pageBreakBefore w:val="0"/>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2">
            <w:pPr>
              <w:pageBreakBefore w:val="0"/>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pageBreakBefore w:val="0"/>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6">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7">
            <w:pPr>
              <w:pageBreakBefore w:val="0"/>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pageBreakBefore w:val="0"/>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A">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B">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C">
            <w:pPr>
              <w:pageBreakBefore w:val="0"/>
              <w:widowControl w:val="0"/>
              <w:jc w:val="center"/>
              <w:rPr/>
            </w:pPr>
            <w:r w:rsidDel="00000000" w:rsidR="00000000" w:rsidRPr="00000000">
              <w:rPr>
                <w:rtl w:val="0"/>
              </w:rPr>
              <w:t xml:space="preserve">Medium</w:t>
            </w:r>
          </w:p>
        </w:tc>
      </w:tr>
    </w:tbl>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sectPr>
      <w:pgSz w:h="15840" w:w="12240" w:orient="portrait"/>
      <w:pgMar w:bottom="1417.3228346456694"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