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49E38">
      <w:pPr>
        <w:spacing w:before="800" w:after="160"/>
        <w:jc w:val="center"/>
      </w:pPr>
      <w:r>
        <w:rPr>
          <w:rFonts w:ascii="Arial" w:hAnsi="Arial" w:eastAsia="Arial" w:cs="Arial"/>
          <w:b/>
          <w:bCs/>
          <w:caps/>
          <w:color w:val="1B3A6B"/>
          <w:sz w:val="52"/>
          <w:szCs w:val="52"/>
        </w:rPr>
        <w:t>BUSINESS REQUIREMENTS DOCUMENT</w:t>
      </w:r>
    </w:p>
    <w:p w14:paraId="04939FEE">
      <w:pPr>
        <w:pBdr>
          <w:bottom w:val="single" w:color="0077CC" w:sz="12" w:space="10"/>
        </w:pBdr>
        <w:spacing w:before="0" w:after="80"/>
        <w:jc w:val="center"/>
      </w:pPr>
      <w:r>
        <w:rPr>
          <w:rFonts w:ascii="Arial" w:hAnsi="Arial" w:eastAsia="Arial" w:cs="Arial"/>
          <w:b/>
          <w:bCs/>
          <w:color w:val="0077CC"/>
          <w:sz w:val="40"/>
          <w:szCs w:val="40"/>
        </w:rPr>
        <w:t>FinGuard Analytics &amp; Intelligence</w:t>
      </w:r>
    </w:p>
    <w:p w14:paraId="68EA894B">
      <w:pPr>
        <w:spacing w:before="120" w:after="0"/>
      </w:pPr>
    </w:p>
    <w:p w14:paraId="5023FF20">
      <w:pPr>
        <w:spacing w:before="0" w:after="60"/>
        <w:jc w:val="center"/>
      </w:pPr>
      <w:r>
        <w:rPr>
          <w:rFonts w:ascii="Arial" w:hAnsi="Arial" w:eastAsia="Arial" w:cs="Arial"/>
          <w:i/>
          <w:iCs/>
          <w:color w:val="4A4A4A"/>
          <w:sz w:val="28"/>
          <w:szCs w:val="28"/>
        </w:rPr>
        <w:t>AI-Powered Credit Risk &amp; KYC Platform</w:t>
      </w:r>
    </w:p>
    <w:p w14:paraId="04EB0C65">
      <w:pPr>
        <w:spacing w:before="0" w:after="400"/>
        <w:jc w:val="center"/>
      </w:pPr>
      <w:r>
        <w:rPr>
          <w:rFonts w:ascii="Arial" w:hAnsi="Arial" w:eastAsia="Arial" w:cs="Arial"/>
          <w:color w:val="2E5FA3"/>
          <w:sz w:val="24"/>
          <w:szCs w:val="24"/>
        </w:rPr>
        <w:t>Know Your Customer Before You Lend</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4320"/>
      </w:tblGrid>
      <w:tr w14:paraId="461E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5D5E8" w:sz="0" w:space="0"/>
              <w:left w:val="single" w:color="C5D5E8" w:sz="0" w:space="0"/>
              <w:bottom w:val="single" w:color="C5D5E8" w:sz="0" w:space="0"/>
              <w:right w:val="single" w:color="C5D5E8" w:sz="0" w:space="0"/>
            </w:tcBorders>
            <w:shd w:val="clear" w:color="auto" w:fill="F2F6FC"/>
            <w:tcMar>
              <w:top w:w="100" w:type="dxa"/>
              <w:left w:w="120" w:type="dxa"/>
              <w:bottom w:w="100" w:type="dxa"/>
              <w:right w:w="120" w:type="dxa"/>
            </w:tcMar>
          </w:tcPr>
          <w:p w14:paraId="404FA5CF">
            <w:r>
              <w:rPr>
                <w:rFonts w:ascii="Arial" w:hAnsi="Arial" w:eastAsia="Arial" w:cs="Arial"/>
                <w:b/>
                <w:bCs/>
                <w:color w:val="1B3A6B"/>
                <w:sz w:val="20"/>
                <w:szCs w:val="20"/>
              </w:rPr>
              <w:t>Document Title</w:t>
            </w:r>
          </w:p>
        </w:tc>
        <w:tc>
          <w:tcPr>
            <w:tcW w:w="4320" w:type="dxa"/>
            <w:tcBorders>
              <w:top w:val="single" w:color="C5D5E8" w:sz="0" w:space="0"/>
              <w:left w:val="single" w:color="C5D5E8" w:sz="0" w:space="0"/>
              <w:bottom w:val="single" w:color="C5D5E8" w:sz="0" w:space="0"/>
              <w:right w:val="single" w:color="C5D5E8" w:sz="0" w:space="0"/>
            </w:tcBorders>
            <w:tcMar>
              <w:top w:w="100" w:type="dxa"/>
              <w:left w:w="120" w:type="dxa"/>
              <w:bottom w:w="100" w:type="dxa"/>
              <w:right w:w="120" w:type="dxa"/>
            </w:tcMar>
          </w:tcPr>
          <w:p w14:paraId="1A2F77EF">
            <w:r>
              <w:rPr>
                <w:rFonts w:ascii="Arial" w:hAnsi="Arial" w:eastAsia="Arial" w:cs="Arial"/>
                <w:color w:val="4A4A4A"/>
                <w:sz w:val="20"/>
                <w:szCs w:val="20"/>
              </w:rPr>
              <w:t>Business Requirements Document — FinGuard</w:t>
            </w:r>
          </w:p>
        </w:tc>
      </w:tr>
      <w:tr w14:paraId="2968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5D5E8" w:sz="0" w:space="0"/>
              <w:left w:val="single" w:color="C5D5E8" w:sz="0" w:space="0"/>
              <w:bottom w:val="single" w:color="C5D5E8" w:sz="0" w:space="0"/>
              <w:right w:val="single" w:color="C5D5E8" w:sz="0" w:space="0"/>
            </w:tcBorders>
            <w:shd w:val="clear" w:color="auto" w:fill="F2F6FC"/>
            <w:tcMar>
              <w:top w:w="100" w:type="dxa"/>
              <w:left w:w="120" w:type="dxa"/>
              <w:bottom w:w="100" w:type="dxa"/>
              <w:right w:w="120" w:type="dxa"/>
            </w:tcMar>
          </w:tcPr>
          <w:p w14:paraId="2511B1CC">
            <w:r>
              <w:rPr>
                <w:rFonts w:ascii="Arial" w:hAnsi="Arial" w:eastAsia="Arial" w:cs="Arial"/>
                <w:b/>
                <w:bCs/>
                <w:color w:val="1B3A6B"/>
                <w:sz w:val="20"/>
                <w:szCs w:val="20"/>
              </w:rPr>
              <w:t>Document Version</w:t>
            </w:r>
          </w:p>
        </w:tc>
        <w:tc>
          <w:tcPr>
            <w:tcW w:w="4320" w:type="dxa"/>
            <w:tcBorders>
              <w:top w:val="single" w:color="C5D5E8" w:sz="0" w:space="0"/>
              <w:left w:val="single" w:color="C5D5E8" w:sz="0" w:space="0"/>
              <w:bottom w:val="single" w:color="C5D5E8" w:sz="0" w:space="0"/>
              <w:right w:val="single" w:color="C5D5E8" w:sz="0" w:space="0"/>
            </w:tcBorders>
            <w:tcMar>
              <w:top w:w="100" w:type="dxa"/>
              <w:left w:w="120" w:type="dxa"/>
              <w:bottom w:w="100" w:type="dxa"/>
              <w:right w:w="120" w:type="dxa"/>
            </w:tcMar>
          </w:tcPr>
          <w:p w14:paraId="5F3F72D2">
            <w:r>
              <w:rPr>
                <w:rFonts w:ascii="Arial" w:hAnsi="Arial" w:eastAsia="Arial" w:cs="Arial"/>
                <w:color w:val="4A4A4A"/>
                <w:sz w:val="20"/>
                <w:szCs w:val="20"/>
              </w:rPr>
              <w:t>v1.0 — Initial Release</w:t>
            </w:r>
          </w:p>
        </w:tc>
      </w:tr>
      <w:tr w14:paraId="6063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5D5E8" w:sz="0" w:space="0"/>
              <w:left w:val="single" w:color="C5D5E8" w:sz="0" w:space="0"/>
              <w:bottom w:val="single" w:color="C5D5E8" w:sz="0" w:space="0"/>
              <w:right w:val="single" w:color="C5D5E8" w:sz="0" w:space="0"/>
            </w:tcBorders>
            <w:shd w:val="clear" w:color="auto" w:fill="F2F6FC"/>
            <w:tcMar>
              <w:top w:w="100" w:type="dxa"/>
              <w:left w:w="120" w:type="dxa"/>
              <w:bottom w:w="100" w:type="dxa"/>
              <w:right w:w="120" w:type="dxa"/>
            </w:tcMar>
          </w:tcPr>
          <w:p w14:paraId="11BA3161">
            <w:r>
              <w:rPr>
                <w:rFonts w:ascii="Arial" w:hAnsi="Arial" w:eastAsia="Arial" w:cs="Arial"/>
                <w:b/>
                <w:bCs/>
                <w:color w:val="1B3A6B"/>
                <w:sz w:val="20"/>
                <w:szCs w:val="20"/>
              </w:rPr>
              <w:t>Date Prepared</w:t>
            </w:r>
          </w:p>
        </w:tc>
        <w:tc>
          <w:tcPr>
            <w:tcW w:w="4320" w:type="dxa"/>
            <w:tcBorders>
              <w:top w:val="single" w:color="C5D5E8" w:sz="0" w:space="0"/>
              <w:left w:val="single" w:color="C5D5E8" w:sz="0" w:space="0"/>
              <w:bottom w:val="single" w:color="C5D5E8" w:sz="0" w:space="0"/>
              <w:right w:val="single" w:color="C5D5E8" w:sz="0" w:space="0"/>
            </w:tcBorders>
            <w:tcMar>
              <w:top w:w="100" w:type="dxa"/>
              <w:left w:w="120" w:type="dxa"/>
              <w:bottom w:w="100" w:type="dxa"/>
              <w:right w:w="120" w:type="dxa"/>
            </w:tcMar>
          </w:tcPr>
          <w:p w14:paraId="267BBA8F">
            <w:r>
              <w:rPr>
                <w:rFonts w:ascii="Arial" w:hAnsi="Arial" w:eastAsia="Arial" w:cs="Arial"/>
                <w:color w:val="4A4A4A"/>
                <w:sz w:val="20"/>
                <w:szCs w:val="20"/>
              </w:rPr>
              <w:t>May 2026</w:t>
            </w:r>
          </w:p>
        </w:tc>
      </w:tr>
      <w:tr w14:paraId="593A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5D5E8" w:sz="0" w:space="0"/>
              <w:left w:val="single" w:color="C5D5E8" w:sz="0" w:space="0"/>
              <w:bottom w:val="single" w:color="C5D5E8" w:sz="0" w:space="0"/>
              <w:right w:val="single" w:color="C5D5E8" w:sz="0" w:space="0"/>
            </w:tcBorders>
            <w:shd w:val="clear" w:color="auto" w:fill="F2F6FC"/>
            <w:tcMar>
              <w:top w:w="100" w:type="dxa"/>
              <w:left w:w="120" w:type="dxa"/>
              <w:bottom w:w="100" w:type="dxa"/>
              <w:right w:w="120" w:type="dxa"/>
            </w:tcMar>
          </w:tcPr>
          <w:p w14:paraId="685DB5C7">
            <w:r>
              <w:rPr>
                <w:rFonts w:ascii="Arial" w:hAnsi="Arial" w:eastAsia="Arial" w:cs="Arial"/>
                <w:b/>
                <w:bCs/>
                <w:color w:val="1B3A6B"/>
                <w:sz w:val="20"/>
                <w:szCs w:val="20"/>
              </w:rPr>
              <w:t>Prepared By</w:t>
            </w:r>
          </w:p>
        </w:tc>
        <w:tc>
          <w:tcPr>
            <w:tcW w:w="4320" w:type="dxa"/>
            <w:tcBorders>
              <w:top w:val="single" w:color="C5D5E8" w:sz="0" w:space="0"/>
              <w:left w:val="single" w:color="C5D5E8" w:sz="0" w:space="0"/>
              <w:bottom w:val="single" w:color="C5D5E8" w:sz="0" w:space="0"/>
              <w:right w:val="single" w:color="C5D5E8" w:sz="0" w:space="0"/>
            </w:tcBorders>
            <w:tcMar>
              <w:top w:w="100" w:type="dxa"/>
              <w:left w:w="120" w:type="dxa"/>
              <w:bottom w:w="100" w:type="dxa"/>
              <w:right w:w="120" w:type="dxa"/>
            </w:tcMar>
          </w:tcPr>
          <w:p w14:paraId="7CC49A62">
            <w:r>
              <w:rPr>
                <w:rFonts w:ascii="Arial" w:hAnsi="Arial" w:eastAsia="Arial" w:cs="Arial"/>
                <w:color w:val="4A4A4A"/>
                <w:sz w:val="20"/>
                <w:szCs w:val="20"/>
              </w:rPr>
              <w:t>Harshita, Pooja, Ridhima, Riya</w:t>
            </w:r>
          </w:p>
        </w:tc>
      </w:tr>
    </w:tbl>
    <w:p w14:paraId="1C493E35">
      <w:r>
        <w:br w:type="page"/>
      </w:r>
    </w:p>
    <w:p w14:paraId="0F06C29A">
      <w:pPr>
        <w:shd w:val="clear" w:fill="1B3A6B"/>
        <w:spacing w:before="300" w:after="100"/>
      </w:pPr>
      <w:r>
        <w:rPr>
          <w:rFonts w:ascii="Arial" w:hAnsi="Arial" w:eastAsia="Arial" w:cs="Arial"/>
          <w:b/>
          <w:bCs/>
          <w:color w:val="00D4FF"/>
          <w:sz w:val="28"/>
          <w:szCs w:val="28"/>
        </w:rPr>
        <w:t xml:space="preserve">  1  </w:t>
      </w:r>
      <w:r>
        <w:rPr>
          <w:rFonts w:ascii="Arial" w:hAnsi="Arial" w:eastAsia="Arial" w:cs="Arial"/>
          <w:b/>
          <w:bCs/>
          <w:color w:val="FFFFFF"/>
          <w:sz w:val="28"/>
          <w:szCs w:val="28"/>
        </w:rPr>
        <w:t>Executive Summary</w:t>
      </w:r>
    </w:p>
    <w:p w14:paraId="21F86B9A">
      <w:pPr>
        <w:spacing w:before="100" w:after="0"/>
      </w:pPr>
    </w:p>
    <w:p w14:paraId="6A87DDFD">
      <w:pPr>
        <w:pStyle w:val="3"/>
        <w:spacing w:before="280" w:after="120"/>
      </w:pPr>
      <w:r>
        <w:rPr>
          <w:rFonts w:ascii="Arial" w:hAnsi="Arial" w:eastAsia="Arial" w:cs="Arial"/>
          <w:b/>
          <w:bCs/>
          <w:color w:val="2E5FA3"/>
          <w:sz w:val="26"/>
          <w:szCs w:val="26"/>
        </w:rPr>
        <w:t>1.1  Project Overview</w:t>
      </w:r>
    </w:p>
    <w:p w14:paraId="502B67C0">
      <w:pPr>
        <w:spacing w:before="60" w:after="80"/>
      </w:pPr>
      <w:r>
        <w:rPr>
          <w:rFonts w:ascii="Arial" w:hAnsi="Arial" w:eastAsia="Arial" w:cs="Arial"/>
          <w:color w:val="4A4A4A"/>
          <w:sz w:val="22"/>
          <w:szCs w:val="22"/>
        </w:rPr>
        <w:t>FinGuard Analytics &amp; Intelligence is a full-stack, AI-powered Credit Risk and Know Your Customer (KYC) platform purpose-built for financial institutions. The platform integrates Machine Learning models, real-time data analytics, anomaly-based fraud detection, regulatory compliance tooling, and computer-vision-powered identity verification into a single, unified operational dashboard.</w:t>
      </w:r>
    </w:p>
    <w:p w14:paraId="7878232E">
      <w:pPr>
        <w:spacing w:before="80" w:after="0"/>
      </w:pPr>
    </w:p>
    <w:p w14:paraId="0E6A2ED6">
      <w:pPr>
        <w:spacing w:before="60" w:after="80"/>
      </w:pPr>
      <w:r>
        <w:rPr>
          <w:rFonts w:ascii="Arial" w:hAnsi="Arial" w:eastAsia="Arial" w:cs="Arial"/>
          <w:color w:val="4A4A4A"/>
          <w:sz w:val="22"/>
          <w:szCs w:val="22"/>
        </w:rPr>
        <w:t>The system is designed to help banks, Non-Banking Financial Companies (NBFCs), and digital lending platforms make faster, smarter, and safer lending decisions — while reducing the operational overhead of manual underwriting, compliance auditing, and identity verification.</w:t>
      </w:r>
    </w:p>
    <w:p w14:paraId="55E9BAB1">
      <w:pPr>
        <w:spacing w:before="120" w:after="0"/>
      </w:pPr>
    </w:p>
    <w:p w14:paraId="6559DA35">
      <w:pPr>
        <w:pStyle w:val="3"/>
        <w:spacing w:before="280" w:after="120"/>
      </w:pPr>
      <w:r>
        <w:rPr>
          <w:rFonts w:ascii="Arial" w:hAnsi="Arial" w:eastAsia="Arial" w:cs="Arial"/>
          <w:b/>
          <w:bCs/>
          <w:color w:val="2E5FA3"/>
          <w:sz w:val="26"/>
          <w:szCs w:val="26"/>
        </w:rPr>
        <w:t>1.2  Business Problem Statement</w:t>
      </w:r>
    </w:p>
    <w:p w14:paraId="1CBA3451">
      <w:pPr>
        <w:spacing w:before="60" w:after="80"/>
      </w:pPr>
      <w:r>
        <w:rPr>
          <w:rFonts w:ascii="Arial" w:hAnsi="Arial" w:eastAsia="Arial" w:cs="Arial"/>
          <w:color w:val="4A4A4A"/>
          <w:sz w:val="22"/>
          <w:szCs w:val="22"/>
        </w:rPr>
        <w:t>The Indian lending ecosystem faces a compound challenge that threatens both profitability and regulatory standing:</w:t>
      </w:r>
    </w:p>
    <w:p w14:paraId="01B65788">
      <w:pPr>
        <w:spacing w:before="60" w:after="0"/>
      </w:pPr>
    </w:p>
    <w:p w14:paraId="7AF6A5BB">
      <w:pPr>
        <w:pStyle w:val="16"/>
        <w:numPr>
          <w:ilvl w:val="0"/>
          <w:numId w:val="1"/>
        </w:numPr>
        <w:spacing w:before="40" w:after="40"/>
      </w:pPr>
      <w:r>
        <w:rPr>
          <w:rFonts w:ascii="Arial" w:hAnsi="Arial" w:eastAsia="Arial" w:cs="Arial"/>
          <w:color w:val="4A4A4A"/>
          <w:sz w:val="22"/>
          <w:szCs w:val="22"/>
        </w:rPr>
        <w:t>Rising non-performing assets (NPAs) caused by inaccurate or slow credit decisioning.</w:t>
      </w:r>
    </w:p>
    <w:p w14:paraId="0CB6F06C">
      <w:pPr>
        <w:pStyle w:val="16"/>
        <w:numPr>
          <w:ilvl w:val="0"/>
          <w:numId w:val="1"/>
        </w:numPr>
        <w:spacing w:before="40" w:after="40"/>
      </w:pPr>
      <w:r>
        <w:rPr>
          <w:rFonts w:ascii="Arial" w:hAnsi="Arial" w:eastAsia="Arial" w:cs="Arial"/>
          <w:color w:val="4A4A4A"/>
          <w:sz w:val="22"/>
          <w:szCs w:val="22"/>
        </w:rPr>
        <w:t>Manual KYC and identity verification processes that are expensive, slow, and susceptible to fraud.</w:t>
      </w:r>
    </w:p>
    <w:p w14:paraId="4DE6140E">
      <w:pPr>
        <w:pStyle w:val="16"/>
        <w:numPr>
          <w:ilvl w:val="0"/>
          <w:numId w:val="1"/>
        </w:numPr>
        <w:spacing w:before="40" w:after="40"/>
      </w:pPr>
      <w:r>
        <w:rPr>
          <w:rFonts w:ascii="Arial" w:hAnsi="Arial" w:eastAsia="Arial" w:cs="Arial"/>
          <w:color w:val="4A4A4A"/>
          <w:sz w:val="22"/>
          <w:szCs w:val="22"/>
        </w:rPr>
        <w:t>Fragmented risk management — credit scoring, fraud detection, compliance, and portfolio analytics exist as disconnected silos.</w:t>
      </w:r>
    </w:p>
    <w:p w14:paraId="751A8829">
      <w:pPr>
        <w:pStyle w:val="16"/>
        <w:numPr>
          <w:ilvl w:val="0"/>
          <w:numId w:val="1"/>
        </w:numPr>
        <w:spacing w:before="40" w:after="40"/>
      </w:pPr>
      <w:r>
        <w:rPr>
          <w:rFonts w:ascii="Arial" w:hAnsi="Arial" w:eastAsia="Arial" w:cs="Arial"/>
          <w:color w:val="4A4A4A"/>
          <w:sz w:val="22"/>
          <w:szCs w:val="22"/>
        </w:rPr>
        <w:t>Regulatory pressure from the Reserve Bank of India (RBI) demanding full KYC/AML compliance, Fair Practice Codes, and transparent credit disclosures.</w:t>
      </w:r>
    </w:p>
    <w:p w14:paraId="1B9B831D">
      <w:pPr>
        <w:pStyle w:val="16"/>
        <w:numPr>
          <w:ilvl w:val="0"/>
          <w:numId w:val="1"/>
        </w:numPr>
        <w:spacing w:before="40" w:after="40"/>
      </w:pPr>
      <w:r>
        <w:rPr>
          <w:rFonts w:ascii="Arial" w:hAnsi="Arial" w:eastAsia="Arial" w:cs="Arial"/>
          <w:color w:val="4A4A4A"/>
          <w:sz w:val="22"/>
          <w:szCs w:val="22"/>
        </w:rPr>
        <w:t>Inability to stress-test lending portfolios under adverse economic scenarios in real time.</w:t>
      </w:r>
    </w:p>
    <w:p w14:paraId="061BAB54">
      <w:pPr>
        <w:spacing w:before="60" w:after="0"/>
      </w:pPr>
    </w:p>
    <w:p w14:paraId="32133A18">
      <w:pPr>
        <w:spacing w:before="60" w:after="80"/>
      </w:pPr>
      <w:r>
        <w:rPr>
          <w:rFonts w:ascii="Arial" w:hAnsi="Arial" w:eastAsia="Arial" w:cs="Arial"/>
          <w:color w:val="4A4A4A"/>
          <w:sz w:val="22"/>
          <w:szCs w:val="22"/>
        </w:rPr>
        <w:t>FinGuard directly addresses all five pain points through an integrated AI-driven platform.</w:t>
      </w:r>
    </w:p>
    <w:p w14:paraId="1C046922">
      <w:pPr>
        <w:spacing w:before="120" w:after="0"/>
      </w:pPr>
    </w:p>
    <w:p w14:paraId="08411ACD">
      <w:pPr>
        <w:pStyle w:val="3"/>
        <w:spacing w:before="280" w:after="120"/>
      </w:pPr>
      <w:r>
        <w:rPr>
          <w:rFonts w:ascii="Arial" w:hAnsi="Arial" w:eastAsia="Arial" w:cs="Arial"/>
          <w:b/>
          <w:bCs/>
          <w:color w:val="2E5FA3"/>
          <w:sz w:val="26"/>
          <w:szCs w:val="26"/>
        </w:rPr>
        <w:t>1.3  Solution Summary</w:t>
      </w:r>
    </w:p>
    <w:p w14:paraId="19FABE81">
      <w:pPr>
        <w:spacing w:before="60" w:after="80"/>
        <w:rPr>
          <w:rFonts w:ascii="Arial" w:hAnsi="Arial" w:eastAsia="Arial" w:cs="Arial"/>
          <w:color w:val="4A4A4A"/>
          <w:sz w:val="22"/>
          <w:szCs w:val="22"/>
        </w:rPr>
      </w:pPr>
      <w:r>
        <w:rPr>
          <w:rFonts w:ascii="Arial" w:hAnsi="Arial" w:eastAsia="Arial" w:cs="Arial"/>
          <w:color w:val="4A4A4A"/>
          <w:sz w:val="22"/>
          <w:szCs w:val="22"/>
        </w:rPr>
        <w:t>FinGuard is deployed as a Streamlit-based web application with a modular architecture spanning eight functional modules. At its core is a Random Forest Classifier trained on historical applicant data, achieving 90% prediction accuracy. Surrounding it are purpose-built engines for fraud detection (Isolation Forest), risk analytics (VaR/CVaR/Expected Loss), AML screening, computer-vision KYC (YOLO-based), batch scoring, and institutional-grade portfolio reporting.</w:t>
      </w:r>
    </w:p>
    <w:p w14:paraId="3ED6991E">
      <w:pPr>
        <w:spacing w:before="60" w:after="80"/>
        <w:rPr>
          <w:rFonts w:ascii="Arial" w:hAnsi="Arial" w:eastAsia="Arial" w:cs="Arial"/>
          <w:color w:val="4A4A4A"/>
          <w:sz w:val="22"/>
          <w:szCs w:val="22"/>
        </w:rPr>
      </w:pPr>
    </w:p>
    <w:p w14:paraId="273037EF">
      <w:pPr>
        <w:spacing w:before="60" w:after="80"/>
        <w:rPr>
          <w:rFonts w:ascii="Arial" w:hAnsi="Arial" w:eastAsia="Arial" w:cs="Arial"/>
          <w:color w:val="4A4A4A"/>
          <w:sz w:val="22"/>
          <w:szCs w:val="22"/>
        </w:rPr>
      </w:pPr>
    </w:p>
    <w:p w14:paraId="340403A9">
      <w:pPr>
        <w:spacing w:before="60" w:after="80"/>
        <w:rPr>
          <w:rFonts w:ascii="Arial" w:hAnsi="Arial" w:eastAsia="Arial" w:cs="Arial"/>
          <w:color w:val="4A4A4A"/>
          <w:sz w:val="22"/>
          <w:szCs w:val="22"/>
        </w:rPr>
      </w:pPr>
    </w:p>
    <w:p w14:paraId="2267F549">
      <w:pPr>
        <w:spacing w:before="60" w:after="80"/>
        <w:rPr>
          <w:rFonts w:ascii="Arial" w:hAnsi="Arial" w:eastAsia="Arial" w:cs="Arial"/>
          <w:color w:val="4A4A4A"/>
          <w:sz w:val="22"/>
          <w:szCs w:val="22"/>
        </w:rPr>
      </w:pPr>
    </w:p>
    <w:p w14:paraId="109EF7E7">
      <w:pPr>
        <w:spacing w:before="60" w:after="80"/>
        <w:rPr>
          <w:rFonts w:ascii="Arial" w:hAnsi="Arial" w:eastAsia="Arial" w:cs="Arial"/>
          <w:color w:val="4A4A4A"/>
          <w:sz w:val="22"/>
          <w:szCs w:val="22"/>
        </w:rPr>
      </w:pPr>
    </w:p>
    <w:p w14:paraId="6E8D3827">
      <w:pPr>
        <w:spacing w:before="120" w:after="0"/>
      </w:pPr>
    </w:p>
    <w:p w14:paraId="0001E64C">
      <w:pPr>
        <w:pStyle w:val="3"/>
        <w:spacing w:before="280" w:after="120"/>
      </w:pPr>
      <w:r>
        <w:rPr>
          <w:rFonts w:ascii="Arial" w:hAnsi="Arial" w:eastAsia="Arial" w:cs="Arial"/>
          <w:b/>
          <w:bCs/>
          <w:color w:val="2E5FA3"/>
          <w:sz w:val="26"/>
          <w:szCs w:val="26"/>
        </w:rPr>
        <w:t>1.4  Key Performance Indicators at a Glance</w:t>
      </w:r>
    </w:p>
    <w:p w14:paraId="080EEF7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80"/>
        <w:gridCol w:w="4160"/>
      </w:tblGrid>
      <w:tr w14:paraId="359F8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70DED184">
            <w:pPr>
              <w:jc w:val="center"/>
            </w:pPr>
            <w:r>
              <w:rPr>
                <w:rFonts w:ascii="Arial" w:hAnsi="Arial" w:eastAsia="Arial" w:cs="Arial"/>
                <w:b/>
                <w:bCs/>
                <w:color w:val="FFFFFF"/>
                <w:sz w:val="20"/>
                <w:szCs w:val="20"/>
              </w:rPr>
              <w:t>Metric / KPI</w:t>
            </w:r>
          </w:p>
        </w:tc>
        <w:tc>
          <w:tcPr>
            <w:tcW w:w="208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8A23D52">
            <w:pPr>
              <w:jc w:val="center"/>
            </w:pPr>
            <w:r>
              <w:rPr>
                <w:rFonts w:ascii="Arial" w:hAnsi="Arial" w:eastAsia="Arial" w:cs="Arial"/>
                <w:b/>
                <w:bCs/>
                <w:color w:val="FFFFFF"/>
                <w:sz w:val="20"/>
                <w:szCs w:val="20"/>
              </w:rPr>
              <w:t>Value</w:t>
            </w:r>
          </w:p>
        </w:tc>
        <w:tc>
          <w:tcPr>
            <w:tcW w:w="41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4BED3254">
            <w:pPr>
              <w:jc w:val="center"/>
            </w:pPr>
            <w:r>
              <w:rPr>
                <w:rFonts w:ascii="Arial" w:hAnsi="Arial" w:eastAsia="Arial" w:cs="Arial"/>
                <w:b/>
                <w:bCs/>
                <w:color w:val="FFFFFF"/>
                <w:sz w:val="20"/>
                <w:szCs w:val="20"/>
              </w:rPr>
              <w:t>Description</w:t>
            </w:r>
          </w:p>
        </w:tc>
      </w:tr>
      <w:tr w14:paraId="1A7A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FC7DA18">
            <w:r>
              <w:rPr>
                <w:rFonts w:ascii="Arial" w:hAnsi="Arial" w:eastAsia="Arial" w:cs="Arial"/>
                <w:color w:val="4A4A4A"/>
                <w:sz w:val="20"/>
                <w:szCs w:val="20"/>
              </w:rPr>
              <w:t>Model Accuracy</w:t>
            </w:r>
          </w:p>
        </w:tc>
        <w:tc>
          <w:tcPr>
            <w:tcW w:w="20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3A033C4">
            <w:r>
              <w:rPr>
                <w:rFonts w:ascii="Arial" w:hAnsi="Arial" w:eastAsia="Arial" w:cs="Arial"/>
                <w:color w:val="4A4A4A"/>
                <w:sz w:val="20"/>
                <w:szCs w:val="20"/>
              </w:rPr>
              <w:t>90.0%</w:t>
            </w:r>
          </w:p>
        </w:tc>
        <w:tc>
          <w:tcPr>
            <w:tcW w:w="41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6562D3C">
            <w:r>
              <w:rPr>
                <w:rFonts w:ascii="Arial" w:hAnsi="Arial" w:eastAsia="Arial" w:cs="Arial"/>
                <w:color w:val="4A4A4A"/>
                <w:sz w:val="20"/>
                <w:szCs w:val="20"/>
              </w:rPr>
              <w:t>Random Forest classifier on applicant credit features</w:t>
            </w:r>
          </w:p>
        </w:tc>
      </w:tr>
      <w:tr w14:paraId="45FE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4ECD1FE">
            <w:r>
              <w:rPr>
                <w:rFonts w:ascii="Arial" w:hAnsi="Arial" w:eastAsia="Arial" w:cs="Arial"/>
                <w:color w:val="4A4A4A"/>
                <w:sz w:val="20"/>
                <w:szCs w:val="20"/>
              </w:rPr>
              <w:t>Dataset Size</w:t>
            </w:r>
          </w:p>
        </w:tc>
        <w:tc>
          <w:tcPr>
            <w:tcW w:w="20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047A5F5">
            <w:r>
              <w:rPr>
                <w:rFonts w:ascii="Arial" w:hAnsi="Arial" w:eastAsia="Arial" w:cs="Arial"/>
                <w:color w:val="4A4A4A"/>
                <w:sz w:val="20"/>
                <w:szCs w:val="20"/>
              </w:rPr>
              <w:t>50 records (demo)</w:t>
            </w:r>
          </w:p>
        </w:tc>
        <w:tc>
          <w:tcPr>
            <w:tcW w:w="41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23E7C25">
            <w:r>
              <w:rPr>
                <w:rFonts w:ascii="Arial" w:hAnsi="Arial" w:eastAsia="Arial" w:cs="Arial"/>
                <w:color w:val="4A4A4A"/>
                <w:sz w:val="20"/>
                <w:szCs w:val="20"/>
              </w:rPr>
              <w:t>Expandable to full production datasets via batch import</w:t>
            </w:r>
          </w:p>
        </w:tc>
      </w:tr>
      <w:tr w14:paraId="36DC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53A098B">
            <w:r>
              <w:rPr>
                <w:rFonts w:ascii="Arial" w:hAnsi="Arial" w:eastAsia="Arial" w:cs="Arial"/>
                <w:color w:val="4A4A4A"/>
                <w:sz w:val="20"/>
                <w:szCs w:val="20"/>
              </w:rPr>
              <w:t>Approval Rate</w:t>
            </w:r>
          </w:p>
        </w:tc>
        <w:tc>
          <w:tcPr>
            <w:tcW w:w="20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B54B2A2">
            <w:r>
              <w:rPr>
                <w:rFonts w:ascii="Arial" w:hAnsi="Arial" w:eastAsia="Arial" w:cs="Arial"/>
                <w:color w:val="4A4A4A"/>
                <w:sz w:val="20"/>
                <w:szCs w:val="20"/>
              </w:rPr>
              <w:t>62%</w:t>
            </w:r>
          </w:p>
        </w:tc>
        <w:tc>
          <w:tcPr>
            <w:tcW w:w="41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2A457F7">
            <w:r>
              <w:rPr>
                <w:rFonts w:ascii="Arial" w:hAnsi="Arial" w:eastAsia="Arial" w:cs="Arial"/>
                <w:color w:val="4A4A4A"/>
                <w:sz w:val="20"/>
                <w:szCs w:val="20"/>
              </w:rPr>
              <w:t>Baseline on demo dataset; adjustable by policy thresholds</w:t>
            </w:r>
          </w:p>
        </w:tc>
      </w:tr>
      <w:tr w14:paraId="6671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A622C18">
            <w:r>
              <w:rPr>
                <w:rFonts w:ascii="Arial" w:hAnsi="Arial" w:eastAsia="Arial" w:cs="Arial"/>
                <w:color w:val="4A4A4A"/>
                <w:sz w:val="20"/>
                <w:szCs w:val="20"/>
              </w:rPr>
              <w:t>Default Rate</w:t>
            </w:r>
          </w:p>
        </w:tc>
        <w:tc>
          <w:tcPr>
            <w:tcW w:w="20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596242E">
            <w:r>
              <w:rPr>
                <w:rFonts w:ascii="Arial" w:hAnsi="Arial" w:eastAsia="Arial" w:cs="Arial"/>
                <w:color w:val="4A4A4A"/>
                <w:sz w:val="20"/>
                <w:szCs w:val="20"/>
              </w:rPr>
              <w:t>38%</w:t>
            </w:r>
          </w:p>
        </w:tc>
        <w:tc>
          <w:tcPr>
            <w:tcW w:w="41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305AFC3">
            <w:r>
              <w:rPr>
                <w:rFonts w:ascii="Arial" w:hAnsi="Arial" w:eastAsia="Arial" w:cs="Arial"/>
                <w:color w:val="4A4A4A"/>
                <w:sz w:val="20"/>
                <w:szCs w:val="20"/>
              </w:rPr>
              <w:t>Baseline default probability across the demo portfolio</w:t>
            </w:r>
          </w:p>
        </w:tc>
      </w:tr>
      <w:tr w14:paraId="48F8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349768C">
            <w:r>
              <w:rPr>
                <w:rFonts w:ascii="Arial" w:hAnsi="Arial" w:eastAsia="Arial" w:cs="Arial"/>
                <w:color w:val="4A4A4A"/>
                <w:sz w:val="20"/>
                <w:szCs w:val="20"/>
              </w:rPr>
              <w:t>Avg. Credit Score</w:t>
            </w:r>
          </w:p>
        </w:tc>
        <w:tc>
          <w:tcPr>
            <w:tcW w:w="20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9E3199A">
            <w:r>
              <w:rPr>
                <w:rFonts w:ascii="Arial" w:hAnsi="Arial" w:eastAsia="Arial" w:cs="Arial"/>
                <w:color w:val="4A4A4A"/>
                <w:sz w:val="20"/>
                <w:szCs w:val="20"/>
              </w:rPr>
              <w:t>~850</w:t>
            </w:r>
          </w:p>
        </w:tc>
        <w:tc>
          <w:tcPr>
            <w:tcW w:w="41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1CC2E109">
            <w:r>
              <w:rPr>
                <w:rFonts w:ascii="Arial" w:hAnsi="Arial" w:eastAsia="Arial" w:cs="Arial"/>
                <w:color w:val="4A4A4A"/>
                <w:sz w:val="20"/>
                <w:szCs w:val="20"/>
              </w:rPr>
              <w:t>Computed dynamically based on ML model output</w:t>
            </w:r>
          </w:p>
        </w:tc>
      </w:tr>
      <w:tr w14:paraId="2331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A0AB83F">
            <w:r>
              <w:rPr>
                <w:rFonts w:ascii="Arial" w:hAnsi="Arial" w:eastAsia="Arial" w:cs="Arial"/>
                <w:color w:val="4A4A4A"/>
                <w:sz w:val="20"/>
                <w:szCs w:val="20"/>
              </w:rPr>
              <w:t>VaR (1-day @ 95%)</w:t>
            </w:r>
          </w:p>
        </w:tc>
        <w:tc>
          <w:tcPr>
            <w:tcW w:w="20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E641D15">
            <w:r>
              <w:rPr>
                <w:rFonts w:ascii="Arial" w:hAnsi="Arial" w:eastAsia="Arial" w:cs="Arial"/>
                <w:color w:val="4A4A4A"/>
                <w:sz w:val="20"/>
                <w:szCs w:val="20"/>
              </w:rPr>
              <w:t>$316,056</w:t>
            </w:r>
          </w:p>
        </w:tc>
        <w:tc>
          <w:tcPr>
            <w:tcW w:w="41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FFB7105">
            <w:r>
              <w:rPr>
                <w:rFonts w:ascii="Arial" w:hAnsi="Arial" w:eastAsia="Arial" w:cs="Arial"/>
                <w:color w:val="4A4A4A"/>
                <w:sz w:val="20"/>
                <w:szCs w:val="20"/>
              </w:rPr>
              <w:t>Value at Risk for the demo portfolio</w:t>
            </w:r>
          </w:p>
        </w:tc>
      </w:tr>
      <w:tr w14:paraId="7112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5DDA368">
            <w:r>
              <w:rPr>
                <w:rFonts w:ascii="Arial" w:hAnsi="Arial" w:eastAsia="Arial" w:cs="Arial"/>
                <w:color w:val="4A4A4A"/>
                <w:sz w:val="20"/>
                <w:szCs w:val="20"/>
              </w:rPr>
              <w:t>CVaR / Exp. Shortfall</w:t>
            </w:r>
          </w:p>
        </w:tc>
        <w:tc>
          <w:tcPr>
            <w:tcW w:w="20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7397564">
            <w:r>
              <w:rPr>
                <w:rFonts w:ascii="Arial" w:hAnsi="Arial" w:eastAsia="Arial" w:cs="Arial"/>
                <w:color w:val="4A4A4A"/>
                <w:sz w:val="20"/>
                <w:szCs w:val="20"/>
              </w:rPr>
              <w:t>$402,131</w:t>
            </w:r>
          </w:p>
        </w:tc>
        <w:tc>
          <w:tcPr>
            <w:tcW w:w="41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CAC09B8">
            <w:r>
              <w:rPr>
                <w:rFonts w:ascii="Arial" w:hAnsi="Arial" w:eastAsia="Arial" w:cs="Arial"/>
                <w:color w:val="4A4A4A"/>
                <w:sz w:val="20"/>
                <w:szCs w:val="20"/>
              </w:rPr>
              <w:t>Average loss in worst-case tail scenarios</w:t>
            </w:r>
          </w:p>
        </w:tc>
      </w:tr>
      <w:tr w14:paraId="60E7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ED66C44">
            <w:r>
              <w:rPr>
                <w:rFonts w:ascii="Arial" w:hAnsi="Arial" w:eastAsia="Arial" w:cs="Arial"/>
                <w:color w:val="4A4A4A"/>
                <w:sz w:val="20"/>
                <w:szCs w:val="20"/>
              </w:rPr>
              <w:t>Total Portfolio Exposure</w:t>
            </w:r>
          </w:p>
        </w:tc>
        <w:tc>
          <w:tcPr>
            <w:tcW w:w="20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4A05F0E">
            <w:r>
              <w:rPr>
                <w:rFonts w:ascii="Arial" w:hAnsi="Arial" w:eastAsia="Arial" w:cs="Arial"/>
                <w:color w:val="4A4A4A"/>
                <w:sz w:val="20"/>
                <w:szCs w:val="20"/>
              </w:rPr>
              <w:t>~₹12.8 Lakh</w:t>
            </w:r>
          </w:p>
        </w:tc>
        <w:tc>
          <w:tcPr>
            <w:tcW w:w="41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C8C368E">
            <w:r>
              <w:rPr>
                <w:rFonts w:ascii="Arial" w:hAnsi="Arial" w:eastAsia="Arial" w:cs="Arial"/>
                <w:color w:val="4A4A4A"/>
                <w:sz w:val="20"/>
                <w:szCs w:val="20"/>
              </w:rPr>
              <w:t>Sum of all loan amounts across demo portfolio</w:t>
            </w:r>
          </w:p>
        </w:tc>
      </w:tr>
      <w:tr w14:paraId="6E1C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54807C3">
            <w:r>
              <w:rPr>
                <w:rFonts w:ascii="Arial" w:hAnsi="Arial" w:eastAsia="Arial" w:cs="Arial"/>
                <w:color w:val="4A4A4A"/>
                <w:sz w:val="20"/>
                <w:szCs w:val="20"/>
              </w:rPr>
              <w:t>Severe Crisis Capital Req.</w:t>
            </w:r>
          </w:p>
        </w:tc>
        <w:tc>
          <w:tcPr>
            <w:tcW w:w="20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19D5FCA">
            <w:r>
              <w:rPr>
                <w:rFonts w:ascii="Arial" w:hAnsi="Arial" w:eastAsia="Arial" w:cs="Arial"/>
                <w:color w:val="4A4A4A"/>
                <w:sz w:val="20"/>
                <w:szCs w:val="20"/>
              </w:rPr>
              <w:t>₹8.93 Lakh</w:t>
            </w:r>
          </w:p>
        </w:tc>
        <w:tc>
          <w:tcPr>
            <w:tcW w:w="41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BC54250">
            <w:r>
              <w:rPr>
                <w:rFonts w:ascii="Arial" w:hAnsi="Arial" w:eastAsia="Arial" w:cs="Arial"/>
                <w:color w:val="4A4A4A"/>
                <w:sz w:val="20"/>
                <w:szCs w:val="20"/>
              </w:rPr>
              <w:t>Capital required under 4-level stress scenario</w:t>
            </w:r>
          </w:p>
        </w:tc>
      </w:tr>
      <w:tr w14:paraId="0F6E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FC8AD56">
            <w:r>
              <w:rPr>
                <w:rFonts w:ascii="Arial" w:hAnsi="Arial" w:eastAsia="Arial" w:cs="Arial"/>
                <w:color w:val="4A4A4A"/>
                <w:sz w:val="20"/>
                <w:szCs w:val="20"/>
              </w:rPr>
              <w:t>Fraud Detection Rate</w:t>
            </w:r>
          </w:p>
        </w:tc>
        <w:tc>
          <w:tcPr>
            <w:tcW w:w="20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8CDE3BD">
            <w:r>
              <w:rPr>
                <w:rFonts w:ascii="Arial" w:hAnsi="Arial" w:eastAsia="Arial" w:cs="Arial"/>
                <w:color w:val="4A4A4A"/>
                <w:sz w:val="20"/>
                <w:szCs w:val="20"/>
              </w:rPr>
              <w:t>6%</w:t>
            </w:r>
          </w:p>
        </w:tc>
        <w:tc>
          <w:tcPr>
            <w:tcW w:w="41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DD92221">
            <w:r>
              <w:rPr>
                <w:rFonts w:ascii="Arial" w:hAnsi="Arial" w:eastAsia="Arial" w:cs="Arial"/>
                <w:color w:val="4A4A4A"/>
                <w:sz w:val="20"/>
                <w:szCs w:val="20"/>
              </w:rPr>
              <w:t>Anomalous profiles detected by Isolation Forest</w:t>
            </w:r>
          </w:p>
        </w:tc>
      </w:tr>
    </w:tbl>
    <w:p w14:paraId="76F4EB4F">
      <w:r>
        <w:br w:type="page"/>
      </w:r>
    </w:p>
    <w:p w14:paraId="5CEAE65E">
      <w:pPr>
        <w:shd w:val="clear" w:fill="1B3A6B"/>
        <w:spacing w:before="300" w:after="100"/>
      </w:pPr>
      <w:r>
        <w:rPr>
          <w:rFonts w:ascii="Arial" w:hAnsi="Arial" w:eastAsia="Arial" w:cs="Arial"/>
          <w:b/>
          <w:bCs/>
          <w:color w:val="00D4FF"/>
          <w:sz w:val="28"/>
          <w:szCs w:val="28"/>
        </w:rPr>
        <w:t xml:space="preserve">  2  </w:t>
      </w:r>
      <w:r>
        <w:rPr>
          <w:rFonts w:ascii="Arial" w:hAnsi="Arial" w:eastAsia="Arial" w:cs="Arial"/>
          <w:b/>
          <w:bCs/>
          <w:color w:val="FFFFFF"/>
          <w:sz w:val="28"/>
          <w:szCs w:val="28"/>
        </w:rPr>
        <w:t>Project Scope &amp; Objectives</w:t>
      </w:r>
    </w:p>
    <w:p w14:paraId="6D10DCD7">
      <w:pPr>
        <w:spacing w:before="100" w:after="0"/>
      </w:pPr>
    </w:p>
    <w:p w14:paraId="7C67A8F1">
      <w:pPr>
        <w:pStyle w:val="3"/>
        <w:spacing w:before="280" w:after="120"/>
      </w:pPr>
      <w:r>
        <w:rPr>
          <w:rFonts w:ascii="Arial" w:hAnsi="Arial" w:eastAsia="Arial" w:cs="Arial"/>
          <w:b/>
          <w:bCs/>
          <w:color w:val="2E5FA3"/>
          <w:sz w:val="26"/>
          <w:szCs w:val="26"/>
        </w:rPr>
        <w:t>2.1  Project Objectives</w:t>
      </w:r>
    </w:p>
    <w:p w14:paraId="2405054C">
      <w:pPr>
        <w:spacing w:before="60" w:after="80"/>
      </w:pPr>
      <w:r>
        <w:rPr>
          <w:rFonts w:ascii="Arial" w:hAnsi="Arial" w:eastAsia="Arial" w:cs="Arial"/>
          <w:color w:val="4A4A4A"/>
          <w:sz w:val="22"/>
          <w:szCs w:val="22"/>
        </w:rPr>
        <w:t>The primary objectives of the FinGuard platform are:</w:t>
      </w:r>
    </w:p>
    <w:p w14:paraId="1FB94381">
      <w:pPr>
        <w:spacing w:before="60" w:after="0"/>
      </w:pPr>
    </w:p>
    <w:p w14:paraId="29EA56F6">
      <w:pPr>
        <w:pStyle w:val="16"/>
        <w:numPr>
          <w:ilvl w:val="0"/>
          <w:numId w:val="1"/>
        </w:numPr>
        <w:spacing w:before="40" w:after="40"/>
      </w:pPr>
      <w:r>
        <w:rPr>
          <w:rFonts w:ascii="Arial" w:hAnsi="Arial" w:eastAsia="Arial" w:cs="Arial"/>
          <w:color w:val="4A4A4A"/>
          <w:sz w:val="22"/>
          <w:szCs w:val="22"/>
        </w:rPr>
        <w:t>To automate end-to-end credit risk assessment for individual loan applicants using a trained machine learning model.</w:t>
      </w:r>
    </w:p>
    <w:p w14:paraId="047F0808">
      <w:pPr>
        <w:pStyle w:val="16"/>
        <w:numPr>
          <w:ilvl w:val="0"/>
          <w:numId w:val="1"/>
        </w:numPr>
        <w:spacing w:before="40" w:after="40"/>
      </w:pPr>
      <w:r>
        <w:rPr>
          <w:rFonts w:ascii="Arial" w:hAnsi="Arial" w:eastAsia="Arial" w:cs="Arial"/>
          <w:color w:val="4A4A4A"/>
          <w:sz w:val="22"/>
          <w:szCs w:val="22"/>
        </w:rPr>
        <w:t>To provide real-time financial analytics and exploratory data analysis (EDA) on the lending portfolio.</w:t>
      </w:r>
    </w:p>
    <w:p w14:paraId="6F485A3A">
      <w:pPr>
        <w:pStyle w:val="16"/>
        <w:numPr>
          <w:ilvl w:val="0"/>
          <w:numId w:val="1"/>
        </w:numPr>
        <w:spacing w:before="40" w:after="40"/>
      </w:pPr>
      <w:r>
        <w:rPr>
          <w:rFonts w:ascii="Arial" w:hAnsi="Arial" w:eastAsia="Arial" w:cs="Arial"/>
          <w:color w:val="4A4A4A"/>
          <w:sz w:val="22"/>
          <w:szCs w:val="22"/>
        </w:rPr>
        <w:t>To deliver a quantitative risk and compliance dashboard covering Value at Risk (VaR), Expected Shortfall (CVaR), and Expected Loss (EL).</w:t>
      </w:r>
    </w:p>
    <w:p w14:paraId="51CE4782">
      <w:pPr>
        <w:pStyle w:val="16"/>
        <w:numPr>
          <w:ilvl w:val="0"/>
          <w:numId w:val="1"/>
        </w:numPr>
        <w:spacing w:before="40" w:after="40"/>
      </w:pPr>
      <w:r>
        <w:rPr>
          <w:rFonts w:ascii="Arial" w:hAnsi="Arial" w:eastAsia="Arial" w:cs="Arial"/>
          <w:color w:val="4A4A4A"/>
          <w:sz w:val="22"/>
          <w:szCs w:val="22"/>
        </w:rPr>
        <w:t>To detect fraudulent and anomalous applications before disbursement using unsupervised anomaly detection.</w:t>
      </w:r>
    </w:p>
    <w:p w14:paraId="65E8AE5B">
      <w:pPr>
        <w:pStyle w:val="16"/>
        <w:numPr>
          <w:ilvl w:val="0"/>
          <w:numId w:val="1"/>
        </w:numPr>
        <w:spacing w:before="40" w:after="40"/>
      </w:pPr>
      <w:r>
        <w:rPr>
          <w:rFonts w:ascii="Arial" w:hAnsi="Arial" w:eastAsia="Arial" w:cs="Arial"/>
          <w:color w:val="4A4A4A"/>
          <w:sz w:val="22"/>
          <w:szCs w:val="22"/>
        </w:rPr>
        <w:t>To automate KYC identity verification using computer vision and YOLO-based document analysis.</w:t>
      </w:r>
    </w:p>
    <w:p w14:paraId="54F4BB06">
      <w:pPr>
        <w:pStyle w:val="16"/>
        <w:numPr>
          <w:ilvl w:val="0"/>
          <w:numId w:val="1"/>
        </w:numPr>
        <w:spacing w:before="40" w:after="40"/>
      </w:pPr>
      <w:r>
        <w:rPr>
          <w:rFonts w:ascii="Arial" w:hAnsi="Arial" w:eastAsia="Arial" w:cs="Arial"/>
          <w:color w:val="4A4A4A"/>
          <w:sz w:val="22"/>
          <w:szCs w:val="22"/>
        </w:rPr>
        <w:t>To enable batch scoring of large applicant pools and export of institutional-grade PDF portfolio reports.</w:t>
      </w:r>
    </w:p>
    <w:p w14:paraId="4A3590E4">
      <w:pPr>
        <w:pStyle w:val="16"/>
        <w:numPr>
          <w:ilvl w:val="0"/>
          <w:numId w:val="1"/>
        </w:numPr>
        <w:spacing w:before="40" w:after="40"/>
      </w:pPr>
      <w:r>
        <w:rPr>
          <w:rFonts w:ascii="Arial" w:hAnsi="Arial" w:eastAsia="Arial" w:cs="Arial"/>
          <w:color w:val="4A4A4A"/>
          <w:sz w:val="22"/>
          <w:szCs w:val="22"/>
        </w:rPr>
        <w:t>To ensure full compliance with RBI guidelines, KYC/AML standards, and Fair Practice Codes.</w:t>
      </w:r>
    </w:p>
    <w:p w14:paraId="32A01790">
      <w:pPr>
        <w:spacing w:before="120" w:after="0"/>
      </w:pPr>
    </w:p>
    <w:p w14:paraId="57E96D28">
      <w:pPr>
        <w:pStyle w:val="3"/>
        <w:spacing w:before="280" w:after="120"/>
      </w:pPr>
      <w:r>
        <w:rPr>
          <w:rFonts w:ascii="Arial" w:hAnsi="Arial" w:eastAsia="Arial" w:cs="Arial"/>
          <w:b/>
          <w:bCs/>
          <w:color w:val="2E5FA3"/>
          <w:sz w:val="26"/>
          <w:szCs w:val="26"/>
        </w:rPr>
        <w:t>2.2  In-Scope Features</w:t>
      </w:r>
    </w:p>
    <w:p w14:paraId="77F3C1D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60"/>
        <w:gridCol w:w="6000"/>
      </w:tblGrid>
      <w:tr w14:paraId="32A9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38DD809">
            <w:pPr>
              <w:jc w:val="center"/>
            </w:pPr>
            <w:r>
              <w:rPr>
                <w:rFonts w:ascii="Arial" w:hAnsi="Arial" w:eastAsia="Arial" w:cs="Arial"/>
                <w:b/>
                <w:bCs/>
                <w:color w:val="FFFFFF"/>
                <w:sz w:val="20"/>
                <w:szCs w:val="20"/>
              </w:rPr>
              <w:t>#</w:t>
            </w:r>
          </w:p>
        </w:tc>
        <w:tc>
          <w:tcPr>
            <w:tcW w:w="26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7A9E76E7">
            <w:pPr>
              <w:jc w:val="center"/>
            </w:pPr>
            <w:r>
              <w:rPr>
                <w:rFonts w:ascii="Arial" w:hAnsi="Arial" w:eastAsia="Arial" w:cs="Arial"/>
                <w:b/>
                <w:bCs/>
                <w:color w:val="FFFFFF"/>
                <w:sz w:val="20"/>
                <w:szCs w:val="20"/>
              </w:rPr>
              <w:t>Module</w:t>
            </w:r>
          </w:p>
        </w:tc>
        <w:tc>
          <w:tcPr>
            <w:tcW w:w="60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22314A0">
            <w:pPr>
              <w:jc w:val="center"/>
            </w:pPr>
            <w:r>
              <w:rPr>
                <w:rFonts w:ascii="Arial" w:hAnsi="Arial" w:eastAsia="Arial" w:cs="Arial"/>
                <w:b/>
                <w:bCs/>
                <w:color w:val="FFFFFF"/>
                <w:sz w:val="20"/>
                <w:szCs w:val="20"/>
              </w:rPr>
              <w:t>Features Included</w:t>
            </w:r>
          </w:p>
        </w:tc>
      </w:tr>
      <w:tr w14:paraId="040D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83377BF">
            <w:r>
              <w:rPr>
                <w:rFonts w:ascii="Arial" w:hAnsi="Arial" w:eastAsia="Arial" w:cs="Arial"/>
                <w:color w:val="4A4A4A"/>
                <w:sz w:val="20"/>
                <w:szCs w:val="20"/>
              </w:rPr>
              <w:t>1</w:t>
            </w:r>
          </w:p>
        </w:tc>
        <w:tc>
          <w:tcPr>
            <w:tcW w:w="26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6631644">
            <w:r>
              <w:rPr>
                <w:rFonts w:ascii="Arial" w:hAnsi="Arial" w:eastAsia="Arial" w:cs="Arial"/>
                <w:color w:val="4A4A4A"/>
                <w:sz w:val="20"/>
                <w:szCs w:val="20"/>
              </w:rPr>
              <w:t>Financial Analytics (EDA)</w:t>
            </w:r>
          </w:p>
        </w:tc>
        <w:tc>
          <w:tcPr>
            <w:tcW w:w="60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06CCB85">
            <w:r>
              <w:rPr>
                <w:rFonts w:ascii="Arial" w:hAnsi="Arial" w:eastAsia="Arial" w:cs="Arial"/>
                <w:color w:val="4A4A4A"/>
                <w:sz w:val="20"/>
                <w:szCs w:val="20"/>
              </w:rPr>
              <w:t>Income distribution, loan-amount distributions, age vs default analysis, correlation heatmaps, summary statistics — across 3 dashboard tabs.</w:t>
            </w:r>
          </w:p>
        </w:tc>
      </w:tr>
      <w:tr w14:paraId="34DB8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597E553">
            <w:r>
              <w:rPr>
                <w:rFonts w:ascii="Arial" w:hAnsi="Arial" w:eastAsia="Arial" w:cs="Arial"/>
                <w:color w:val="4A4A4A"/>
                <w:sz w:val="20"/>
                <w:szCs w:val="20"/>
              </w:rPr>
              <w:t>2</w:t>
            </w:r>
          </w:p>
        </w:tc>
        <w:tc>
          <w:tcPr>
            <w:tcW w:w="26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7442C0F">
            <w:r>
              <w:rPr>
                <w:rFonts w:ascii="Arial" w:hAnsi="Arial" w:eastAsia="Arial" w:cs="Arial"/>
                <w:color w:val="4A4A4A"/>
                <w:sz w:val="20"/>
                <w:szCs w:val="20"/>
              </w:rPr>
              <w:t>Risk &amp; Compliance</w:t>
            </w:r>
          </w:p>
        </w:tc>
        <w:tc>
          <w:tcPr>
            <w:tcW w:w="60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86F78FD">
            <w:r>
              <w:rPr>
                <w:rFonts w:ascii="Arial" w:hAnsi="Arial" w:eastAsia="Arial" w:cs="Arial"/>
                <w:color w:val="4A4A4A"/>
                <w:sz w:val="20"/>
                <w:szCs w:val="20"/>
              </w:rPr>
              <w:t>VaR computation (configurable confidence levels), CVaR, Expected Loss (PD × LGD × EAD), AML scoring engine (0–100 scale), KYC/AML compliance checklist, RBI guideline tracker.</w:t>
            </w:r>
          </w:p>
        </w:tc>
      </w:tr>
      <w:tr w14:paraId="3218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32A5FC7">
            <w:r>
              <w:rPr>
                <w:rFonts w:ascii="Arial" w:hAnsi="Arial" w:eastAsia="Arial" w:cs="Arial"/>
                <w:color w:val="4A4A4A"/>
                <w:sz w:val="20"/>
                <w:szCs w:val="20"/>
              </w:rPr>
              <w:t>3</w:t>
            </w:r>
          </w:p>
        </w:tc>
        <w:tc>
          <w:tcPr>
            <w:tcW w:w="26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5804E51">
            <w:r>
              <w:rPr>
                <w:rFonts w:ascii="Arial" w:hAnsi="Arial" w:eastAsia="Arial" w:cs="Arial"/>
                <w:color w:val="4A4A4A"/>
                <w:sz w:val="20"/>
                <w:szCs w:val="20"/>
              </w:rPr>
              <w:t>Fraud Detection &amp; Anomaly</w:t>
            </w:r>
          </w:p>
        </w:tc>
        <w:tc>
          <w:tcPr>
            <w:tcW w:w="60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769DDFF">
            <w:r>
              <w:rPr>
                <w:rFonts w:ascii="Arial" w:hAnsi="Arial" w:eastAsia="Arial" w:cs="Arial"/>
                <w:color w:val="4A4A4A"/>
                <w:sz w:val="20"/>
                <w:szCs w:val="20"/>
              </w:rPr>
              <w:t>Isolation Forest anomaly detection, configurable fraud rate slider, Income vs Loan anomaly scatter map, K-Means customer segmentation (K=3 default), segment profiling.</w:t>
            </w:r>
          </w:p>
        </w:tc>
      </w:tr>
      <w:tr w14:paraId="09B8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E811811">
            <w:r>
              <w:rPr>
                <w:rFonts w:ascii="Arial" w:hAnsi="Arial" w:eastAsia="Arial" w:cs="Arial"/>
                <w:color w:val="4A4A4A"/>
                <w:sz w:val="20"/>
                <w:szCs w:val="20"/>
              </w:rPr>
              <w:t>4</w:t>
            </w:r>
          </w:p>
        </w:tc>
        <w:tc>
          <w:tcPr>
            <w:tcW w:w="26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30F2495">
            <w:r>
              <w:rPr>
                <w:rFonts w:ascii="Arial" w:hAnsi="Arial" w:eastAsia="Arial" w:cs="Arial"/>
                <w:color w:val="4A4A4A"/>
                <w:sz w:val="20"/>
                <w:szCs w:val="20"/>
              </w:rPr>
              <w:t>KYC Verification</w:t>
            </w:r>
          </w:p>
        </w:tc>
        <w:tc>
          <w:tcPr>
            <w:tcW w:w="60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D06F252">
            <w:r>
              <w:rPr>
                <w:rFonts w:ascii="Arial" w:hAnsi="Arial" w:eastAsia="Arial" w:cs="Arial"/>
                <w:color w:val="4A4A4A"/>
                <w:sz w:val="20"/>
                <w:szCs w:val="20"/>
              </w:rPr>
              <w:t>Government ID upload (PAN/Aadhaar/Passport), selfie capture/upload, YOLO-based document region and facial landmark extraction, real-time pass/fail confidence score.</w:t>
            </w:r>
          </w:p>
        </w:tc>
      </w:tr>
      <w:tr w14:paraId="2D3A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0BA80D1">
            <w:r>
              <w:rPr>
                <w:rFonts w:ascii="Arial" w:hAnsi="Arial" w:eastAsia="Arial" w:cs="Arial"/>
                <w:color w:val="4A4A4A"/>
                <w:sz w:val="20"/>
                <w:szCs w:val="20"/>
              </w:rPr>
              <w:t>5</w:t>
            </w:r>
          </w:p>
        </w:tc>
        <w:tc>
          <w:tcPr>
            <w:tcW w:w="26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A707F3C">
            <w:r>
              <w:rPr>
                <w:rFonts w:ascii="Arial" w:hAnsi="Arial" w:eastAsia="Arial" w:cs="Arial"/>
                <w:color w:val="4A4A4A"/>
                <w:sz w:val="20"/>
                <w:szCs w:val="20"/>
              </w:rPr>
              <w:t>Credit Profiling Engine</w:t>
            </w:r>
          </w:p>
        </w:tc>
        <w:tc>
          <w:tcPr>
            <w:tcW w:w="60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F0FA294">
            <w:r>
              <w:rPr>
                <w:rFonts w:ascii="Arial" w:hAnsi="Arial" w:eastAsia="Arial" w:cs="Arial"/>
                <w:color w:val="4A4A4A"/>
                <w:sz w:val="20"/>
                <w:szCs w:val="20"/>
              </w:rPr>
              <w:t>Dynamic credit score gauge (300–900), Random Forest loan decision (APPROVED/REJECTED), DTI ratio computation, Expected Loss breakdown per applicant.</w:t>
            </w:r>
          </w:p>
        </w:tc>
      </w:tr>
      <w:tr w14:paraId="554C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45E05CD">
            <w:r>
              <w:rPr>
                <w:rFonts w:ascii="Arial" w:hAnsi="Arial" w:eastAsia="Arial" w:cs="Arial"/>
                <w:color w:val="4A4A4A"/>
                <w:sz w:val="20"/>
                <w:szCs w:val="20"/>
              </w:rPr>
              <w:t>6</w:t>
            </w:r>
          </w:p>
        </w:tc>
        <w:tc>
          <w:tcPr>
            <w:tcW w:w="26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8D0C58F">
            <w:r>
              <w:rPr>
                <w:rFonts w:ascii="Arial" w:hAnsi="Arial" w:eastAsia="Arial" w:cs="Arial"/>
                <w:color w:val="4A4A4A"/>
                <w:sz w:val="20"/>
                <w:szCs w:val="20"/>
              </w:rPr>
              <w:t>Batch Scoring</w:t>
            </w:r>
          </w:p>
        </w:tc>
        <w:tc>
          <w:tcPr>
            <w:tcW w:w="60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3E2D7FC">
            <w:r>
              <w:rPr>
                <w:rFonts w:ascii="Arial" w:hAnsi="Arial" w:eastAsia="Arial" w:cs="Arial"/>
                <w:color w:val="4A4A4A"/>
                <w:sz w:val="20"/>
                <w:szCs w:val="20"/>
              </w:rPr>
              <w:t>CSV upload for bulk applicant scoring, automated model inference on batch, output with individual decisions and risk flags.</w:t>
            </w:r>
          </w:p>
        </w:tc>
      </w:tr>
      <w:tr w14:paraId="428F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E517944">
            <w:r>
              <w:rPr>
                <w:rFonts w:ascii="Arial" w:hAnsi="Arial" w:eastAsia="Arial" w:cs="Arial"/>
                <w:color w:val="4A4A4A"/>
                <w:sz w:val="20"/>
                <w:szCs w:val="20"/>
              </w:rPr>
              <w:t>7</w:t>
            </w:r>
          </w:p>
        </w:tc>
        <w:tc>
          <w:tcPr>
            <w:tcW w:w="26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C1AD7BE">
            <w:r>
              <w:rPr>
                <w:rFonts w:ascii="Arial" w:hAnsi="Arial" w:eastAsia="Arial" w:cs="Arial"/>
                <w:color w:val="4A4A4A"/>
                <w:sz w:val="20"/>
                <w:szCs w:val="20"/>
              </w:rPr>
              <w:t>Portfolio Reports</w:t>
            </w:r>
          </w:p>
        </w:tc>
        <w:tc>
          <w:tcPr>
            <w:tcW w:w="60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EA069B4">
            <w:r>
              <w:rPr>
                <w:rFonts w:ascii="Arial" w:hAnsi="Arial" w:eastAsia="Arial" w:cs="Arial"/>
                <w:color w:val="4A4A4A"/>
                <w:sz w:val="20"/>
                <w:szCs w:val="20"/>
              </w:rPr>
              <w:t>Portfolio summary metrics, 4-level stress testing (Base / Mild / Moderate / Severe), default heatmap by loan grade, one-click PDF export.</w:t>
            </w:r>
          </w:p>
        </w:tc>
      </w:tr>
      <w:tr w14:paraId="7A17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D3FD76F">
            <w:r>
              <w:rPr>
                <w:rFonts w:ascii="Arial" w:hAnsi="Arial" w:eastAsia="Arial" w:cs="Arial"/>
                <w:color w:val="4A4A4A"/>
                <w:sz w:val="20"/>
                <w:szCs w:val="20"/>
              </w:rPr>
              <w:t>8</w:t>
            </w:r>
          </w:p>
        </w:tc>
        <w:tc>
          <w:tcPr>
            <w:tcW w:w="26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BCFD312">
            <w:r>
              <w:rPr>
                <w:rFonts w:ascii="Arial" w:hAnsi="Arial" w:eastAsia="Arial" w:cs="Arial"/>
                <w:color w:val="4A4A4A"/>
                <w:sz w:val="20"/>
                <w:szCs w:val="20"/>
              </w:rPr>
              <w:t>Dashboard &amp; Navigation</w:t>
            </w:r>
          </w:p>
        </w:tc>
        <w:tc>
          <w:tcPr>
            <w:tcW w:w="60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8992B6D">
            <w:r>
              <w:rPr>
                <w:rFonts w:ascii="Arial" w:hAnsi="Arial" w:eastAsia="Arial" w:cs="Arial"/>
                <w:color w:val="4A4A4A"/>
                <w:sz w:val="20"/>
                <w:szCs w:val="20"/>
              </w:rPr>
              <w:t>Main metrics overview, sidebar navigation, model status widget, team module overview, income distribution chart, loan decision pie chart.</w:t>
            </w:r>
          </w:p>
        </w:tc>
      </w:tr>
    </w:tbl>
    <w:p w14:paraId="4FE5DB22">
      <w:pPr>
        <w:spacing w:before="120" w:after="0"/>
      </w:pPr>
    </w:p>
    <w:p w14:paraId="5293B2C9">
      <w:pPr>
        <w:pStyle w:val="3"/>
        <w:spacing w:before="280" w:after="120"/>
      </w:pPr>
      <w:r>
        <w:rPr>
          <w:rFonts w:ascii="Arial" w:hAnsi="Arial" w:eastAsia="Arial" w:cs="Arial"/>
          <w:b/>
          <w:bCs/>
          <w:color w:val="2E5FA3"/>
          <w:sz w:val="26"/>
          <w:szCs w:val="26"/>
        </w:rPr>
        <w:t>2.3  Out of Scope (Phase 1)</w:t>
      </w:r>
    </w:p>
    <w:p w14:paraId="7B18BBC3">
      <w:pPr>
        <w:pStyle w:val="16"/>
        <w:numPr>
          <w:ilvl w:val="0"/>
          <w:numId w:val="1"/>
        </w:numPr>
        <w:spacing w:before="40" w:after="40"/>
      </w:pPr>
      <w:r>
        <w:rPr>
          <w:rFonts w:ascii="Arial" w:hAnsi="Arial" w:eastAsia="Arial" w:cs="Arial"/>
          <w:color w:val="4A4A4A"/>
          <w:sz w:val="22"/>
          <w:szCs w:val="22"/>
        </w:rPr>
        <w:t>Real-time bank transaction monitoring via streaming data pipelines.</w:t>
      </w:r>
    </w:p>
    <w:p w14:paraId="2BB873AC">
      <w:pPr>
        <w:pStyle w:val="16"/>
        <w:numPr>
          <w:ilvl w:val="0"/>
          <w:numId w:val="1"/>
        </w:numPr>
        <w:spacing w:before="40" w:after="40"/>
      </w:pPr>
      <w:r>
        <w:rPr>
          <w:rFonts w:ascii="Arial" w:hAnsi="Arial" w:eastAsia="Arial" w:cs="Arial"/>
          <w:color w:val="4A4A4A"/>
          <w:sz w:val="22"/>
          <w:szCs w:val="22"/>
        </w:rPr>
        <w:t>Direct API integration with credit bureaus such as CIBIL or Experian.</w:t>
      </w:r>
    </w:p>
    <w:p w14:paraId="2F5A8C8D">
      <w:pPr>
        <w:pStyle w:val="16"/>
        <w:numPr>
          <w:ilvl w:val="0"/>
          <w:numId w:val="1"/>
        </w:numPr>
        <w:spacing w:before="40" w:after="40"/>
      </w:pPr>
      <w:r>
        <w:rPr>
          <w:rFonts w:ascii="Arial" w:hAnsi="Arial" w:eastAsia="Arial" w:cs="Arial"/>
          <w:color w:val="4A4A4A"/>
          <w:sz w:val="22"/>
          <w:szCs w:val="22"/>
        </w:rPr>
        <w:t>LSTM/deep learning models for time-series default prediction.</w:t>
      </w:r>
    </w:p>
    <w:p w14:paraId="0E026016">
      <w:pPr>
        <w:pStyle w:val="16"/>
        <w:numPr>
          <w:ilvl w:val="0"/>
          <w:numId w:val="1"/>
        </w:numPr>
        <w:spacing w:before="40" w:after="40"/>
      </w:pPr>
      <w:r>
        <w:rPr>
          <w:rFonts w:ascii="Arial" w:hAnsi="Arial" w:eastAsia="Arial" w:cs="Arial"/>
          <w:color w:val="4A4A4A"/>
          <w:sz w:val="22"/>
          <w:szCs w:val="22"/>
        </w:rPr>
        <w:t>WhatsApp or SMS loan status notification bots.</w:t>
      </w:r>
    </w:p>
    <w:p w14:paraId="6C3F7F9D">
      <w:pPr>
        <w:pStyle w:val="16"/>
        <w:numPr>
          <w:ilvl w:val="0"/>
          <w:numId w:val="1"/>
        </w:numPr>
        <w:spacing w:before="40" w:after="40"/>
      </w:pPr>
      <w:r>
        <w:rPr>
          <w:rFonts w:ascii="Arial" w:hAnsi="Arial" w:eastAsia="Arial" w:cs="Arial"/>
          <w:color w:val="4A4A4A"/>
          <w:sz w:val="22"/>
          <w:szCs w:val="22"/>
        </w:rPr>
        <w:t>Multi-language support for rural or regional banking scenarios.</w:t>
      </w:r>
    </w:p>
    <w:p w14:paraId="2FEEB880">
      <w:pPr>
        <w:pStyle w:val="16"/>
        <w:numPr>
          <w:ilvl w:val="0"/>
          <w:numId w:val="1"/>
        </w:numPr>
        <w:spacing w:before="40" w:after="40"/>
      </w:pPr>
      <w:r>
        <w:rPr>
          <w:rFonts w:ascii="Arial" w:hAnsi="Arial" w:eastAsia="Arial" w:cs="Arial"/>
          <w:color w:val="4A4A4A"/>
          <w:sz w:val="22"/>
          <w:szCs w:val="22"/>
        </w:rPr>
        <w:t>Explainability layer (SHAP / LIME) for AI model transparency — planned for Phase 2.</w:t>
      </w:r>
    </w:p>
    <w:p w14:paraId="630B99B3">
      <w:pPr>
        <w:pStyle w:val="16"/>
        <w:numPr>
          <w:ilvl w:val="0"/>
          <w:numId w:val="1"/>
        </w:numPr>
        <w:spacing w:before="40" w:after="40"/>
      </w:pPr>
      <w:r>
        <w:rPr>
          <w:rFonts w:ascii="Arial" w:hAnsi="Arial" w:eastAsia="Arial" w:cs="Arial"/>
          <w:color w:val="4A4A4A"/>
          <w:sz w:val="22"/>
          <w:szCs w:val="22"/>
        </w:rPr>
        <w:t>Bank statement PDF parser using OCR and NLP.</w:t>
      </w:r>
    </w:p>
    <w:p w14:paraId="2959726E">
      <w:r>
        <w:br w:type="page"/>
      </w:r>
    </w:p>
    <w:p w14:paraId="6E4860A0">
      <w:pPr>
        <w:shd w:val="clear" w:fill="1B3A6B"/>
        <w:spacing w:before="300" w:after="100"/>
      </w:pPr>
      <w:r>
        <w:rPr>
          <w:rFonts w:ascii="Arial" w:hAnsi="Arial" w:eastAsia="Arial" w:cs="Arial"/>
          <w:b/>
          <w:bCs/>
          <w:color w:val="00D4FF"/>
          <w:sz w:val="28"/>
          <w:szCs w:val="28"/>
        </w:rPr>
        <w:t xml:space="preserve">  3  </w:t>
      </w:r>
      <w:r>
        <w:rPr>
          <w:rFonts w:ascii="Arial" w:hAnsi="Arial" w:eastAsia="Arial" w:cs="Arial"/>
          <w:b/>
          <w:bCs/>
          <w:color w:val="FFFFFF"/>
          <w:sz w:val="28"/>
          <w:szCs w:val="28"/>
        </w:rPr>
        <w:t>Stakeholders &amp; Team Roles</w:t>
      </w:r>
    </w:p>
    <w:p w14:paraId="6FC4B209">
      <w:pPr>
        <w:spacing w:before="100" w:after="0"/>
      </w:pPr>
    </w:p>
    <w:p w14:paraId="0AF6B40E">
      <w:pPr>
        <w:pStyle w:val="3"/>
        <w:spacing w:before="280" w:after="120"/>
      </w:pPr>
      <w:r>
        <w:rPr>
          <w:rFonts w:ascii="Arial" w:hAnsi="Arial" w:eastAsia="Arial" w:cs="Arial"/>
          <w:b/>
          <w:bCs/>
          <w:color w:val="2E5FA3"/>
          <w:sz w:val="26"/>
          <w:szCs w:val="26"/>
        </w:rPr>
        <w:t>3.1  Internal Project Team</w:t>
      </w:r>
    </w:p>
    <w:p w14:paraId="5D67CC8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800"/>
        <w:gridCol w:w="2400"/>
        <w:gridCol w:w="3600"/>
      </w:tblGrid>
      <w:tr w14:paraId="47E4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400EA11">
            <w:pPr>
              <w:jc w:val="center"/>
            </w:pPr>
            <w:r>
              <w:rPr>
                <w:rFonts w:ascii="Arial" w:hAnsi="Arial" w:eastAsia="Arial" w:cs="Arial"/>
                <w:b/>
                <w:bCs/>
                <w:color w:val="FFFFFF"/>
                <w:sz w:val="20"/>
                <w:szCs w:val="20"/>
              </w:rPr>
              <w:t>Team Member</w:t>
            </w:r>
          </w:p>
        </w:tc>
        <w:tc>
          <w:tcPr>
            <w:tcW w:w="18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7BC1834A">
            <w:pPr>
              <w:jc w:val="center"/>
            </w:pPr>
            <w:r>
              <w:rPr>
                <w:rFonts w:ascii="Arial" w:hAnsi="Arial" w:eastAsia="Arial" w:cs="Arial"/>
                <w:b/>
                <w:bCs/>
                <w:color w:val="FFFFFF"/>
                <w:sz w:val="20"/>
                <w:szCs w:val="20"/>
              </w:rPr>
              <w:t>Role</w:t>
            </w:r>
          </w:p>
        </w:tc>
        <w:tc>
          <w:tcPr>
            <w:tcW w:w="24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4EEEE277">
            <w:pPr>
              <w:jc w:val="center"/>
            </w:pPr>
            <w:r>
              <w:rPr>
                <w:rFonts w:ascii="Arial" w:hAnsi="Arial" w:eastAsia="Arial" w:cs="Arial"/>
                <w:b/>
                <w:bCs/>
                <w:color w:val="FFFFFF"/>
                <w:sz w:val="20"/>
                <w:szCs w:val="20"/>
              </w:rPr>
              <w:t>Module Ownership</w:t>
            </w:r>
          </w:p>
        </w:tc>
        <w:tc>
          <w:tcPr>
            <w:tcW w:w="36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0996CF1A">
            <w:pPr>
              <w:jc w:val="center"/>
            </w:pPr>
            <w:r>
              <w:rPr>
                <w:rFonts w:ascii="Arial" w:hAnsi="Arial" w:eastAsia="Arial" w:cs="Arial"/>
                <w:b/>
                <w:bCs/>
                <w:color w:val="FFFFFF"/>
                <w:sz w:val="20"/>
                <w:szCs w:val="20"/>
              </w:rPr>
              <w:t>Key Responsibilities</w:t>
            </w:r>
          </w:p>
        </w:tc>
      </w:tr>
      <w:tr w14:paraId="04AC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69B4D64">
            <w:r>
              <w:rPr>
                <w:rFonts w:ascii="Arial" w:hAnsi="Arial" w:eastAsia="Arial" w:cs="Arial"/>
                <w:color w:val="4A4A4A"/>
                <w:sz w:val="20"/>
                <w:szCs w:val="20"/>
              </w:rPr>
              <w:t>Harshita</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B195B7F">
            <w:r>
              <w:rPr>
                <w:rFonts w:ascii="Arial" w:hAnsi="Arial" w:eastAsia="Arial" w:cs="Arial"/>
                <w:color w:val="4A4A4A"/>
                <w:sz w:val="20"/>
                <w:szCs w:val="20"/>
              </w:rPr>
              <w:t>ML Architect</w:t>
            </w:r>
          </w:p>
        </w:tc>
        <w:tc>
          <w:tcPr>
            <w:tcW w:w="2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6BA8B42">
            <w:r>
              <w:rPr>
                <w:rFonts w:ascii="Arial" w:hAnsi="Arial" w:eastAsia="Arial" w:cs="Arial"/>
                <w:color w:val="4A4A4A"/>
                <w:sz w:val="20"/>
                <w:szCs w:val="20"/>
              </w:rPr>
              <w:t>Module A + Integration</w:t>
            </w:r>
          </w:p>
        </w:tc>
        <w:tc>
          <w:tcPr>
            <w:tcW w:w="3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3548FD1">
            <w:r>
              <w:rPr>
                <w:rFonts w:ascii="Arial" w:hAnsi="Arial" w:eastAsia="Arial" w:cs="Arial"/>
                <w:color w:val="4A4A4A"/>
                <w:sz w:val="20"/>
                <w:szCs w:val="20"/>
              </w:rPr>
              <w:t>Pipeline architecture, Random Forest model training, GitHub repository management, end-to-end system integration, model deployment.</w:t>
            </w:r>
          </w:p>
        </w:tc>
      </w:tr>
      <w:tr w14:paraId="7E39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249EEAF">
            <w:r>
              <w:rPr>
                <w:rFonts w:ascii="Arial" w:hAnsi="Arial" w:eastAsia="Arial" w:cs="Arial"/>
                <w:color w:val="4A4A4A"/>
                <w:sz w:val="20"/>
                <w:szCs w:val="20"/>
              </w:rPr>
              <w:t>Pooja</w:t>
            </w:r>
          </w:p>
        </w:tc>
        <w:tc>
          <w:tcPr>
            <w:tcW w:w="18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D4ACCA4">
            <w:r>
              <w:rPr>
                <w:rFonts w:ascii="Arial" w:hAnsi="Arial" w:eastAsia="Arial" w:cs="Arial"/>
                <w:color w:val="4A4A4A"/>
                <w:sz w:val="20"/>
                <w:szCs w:val="20"/>
              </w:rPr>
              <w:t>Risk Analyst</w:t>
            </w:r>
          </w:p>
        </w:tc>
        <w:tc>
          <w:tcPr>
            <w:tcW w:w="24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FB18610">
            <w:r>
              <w:rPr>
                <w:rFonts w:ascii="Arial" w:hAnsi="Arial" w:eastAsia="Arial" w:cs="Arial"/>
                <w:color w:val="4A4A4A"/>
                <w:sz w:val="20"/>
                <w:szCs w:val="20"/>
              </w:rPr>
              <w:t>Module D + Ethics</w:t>
            </w:r>
          </w:p>
        </w:tc>
        <w:tc>
          <w:tcPr>
            <w:tcW w:w="36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E9F7E11">
            <w:r>
              <w:rPr>
                <w:rFonts w:ascii="Arial" w:hAnsi="Arial" w:eastAsia="Arial" w:cs="Arial"/>
                <w:color w:val="4A4A4A"/>
                <w:sz w:val="20"/>
                <w:szCs w:val="20"/>
              </w:rPr>
              <w:t>VaR/CVaR dashboard, AML scoring engine, compliance checklist, ethical AI review, regulatory alignment with RBI guidelines.</w:t>
            </w:r>
          </w:p>
        </w:tc>
      </w:tr>
      <w:tr w14:paraId="7A0A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D81C3C7">
            <w:r>
              <w:rPr>
                <w:rFonts w:ascii="Arial" w:hAnsi="Arial" w:eastAsia="Arial" w:cs="Arial"/>
                <w:color w:val="4A4A4A"/>
                <w:sz w:val="20"/>
                <w:szCs w:val="20"/>
              </w:rPr>
              <w:t>Ridhima</w:t>
            </w:r>
          </w:p>
        </w:tc>
        <w:tc>
          <w:tcPr>
            <w:tcW w:w="18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BCFF124">
            <w:r>
              <w:rPr>
                <w:rFonts w:ascii="Arial" w:hAnsi="Arial" w:eastAsia="Arial" w:cs="Arial"/>
                <w:color w:val="4A4A4A"/>
                <w:sz w:val="20"/>
                <w:szCs w:val="20"/>
              </w:rPr>
              <w:t>Data Scientist</w:t>
            </w:r>
          </w:p>
        </w:tc>
        <w:tc>
          <w:tcPr>
            <w:tcW w:w="2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9AA3359">
            <w:r>
              <w:rPr>
                <w:rFonts w:ascii="Arial" w:hAnsi="Arial" w:eastAsia="Arial" w:cs="Arial"/>
                <w:color w:val="4A4A4A"/>
                <w:sz w:val="20"/>
                <w:szCs w:val="20"/>
              </w:rPr>
              <w:t>Modules B &amp; C</w:t>
            </w:r>
          </w:p>
        </w:tc>
        <w:tc>
          <w:tcPr>
            <w:tcW w:w="3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E351653">
            <w:r>
              <w:rPr>
                <w:rFonts w:ascii="Arial" w:hAnsi="Arial" w:eastAsia="Arial" w:cs="Arial"/>
                <w:color w:val="4A4A4A"/>
                <w:sz w:val="20"/>
                <w:szCs w:val="20"/>
              </w:rPr>
              <w:t>Fraud detection (Isolation Forest), customer segmentation (K-Means), individual credit profiling engine, feature engineering.</w:t>
            </w:r>
          </w:p>
        </w:tc>
      </w:tr>
      <w:tr w14:paraId="2B55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7AEFB50">
            <w:r>
              <w:rPr>
                <w:rFonts w:ascii="Arial" w:hAnsi="Arial" w:eastAsia="Arial" w:cs="Arial"/>
                <w:color w:val="4A4A4A"/>
                <w:sz w:val="20"/>
                <w:szCs w:val="20"/>
              </w:rPr>
              <w:t>Riya</w:t>
            </w:r>
          </w:p>
        </w:tc>
        <w:tc>
          <w:tcPr>
            <w:tcW w:w="18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447EE4C">
            <w:r>
              <w:rPr>
                <w:rFonts w:ascii="Arial" w:hAnsi="Arial" w:eastAsia="Arial" w:cs="Arial"/>
                <w:color w:val="4A4A4A"/>
                <w:sz w:val="20"/>
                <w:szCs w:val="20"/>
              </w:rPr>
              <w:t>Business Analyst</w:t>
            </w:r>
          </w:p>
        </w:tc>
        <w:tc>
          <w:tcPr>
            <w:tcW w:w="24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933EAB8">
            <w:r>
              <w:rPr>
                <w:rFonts w:ascii="Arial" w:hAnsi="Arial" w:eastAsia="Arial" w:cs="Arial"/>
                <w:color w:val="4A4A4A"/>
                <w:sz w:val="20"/>
                <w:szCs w:val="20"/>
              </w:rPr>
              <w:t>Module E</w:t>
            </w:r>
          </w:p>
        </w:tc>
        <w:tc>
          <w:tcPr>
            <w:tcW w:w="36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DA496E9">
            <w:r>
              <w:rPr>
                <w:rFonts w:ascii="Arial" w:hAnsi="Arial" w:eastAsia="Arial" w:cs="Arial"/>
                <w:color w:val="4A4A4A"/>
                <w:sz w:val="20"/>
                <w:szCs w:val="20"/>
              </w:rPr>
              <w:t>Batch scoring pipeline, Expected Loss computation, portfolio stress testing, PDF report generation, pitch deck and business case.</w:t>
            </w:r>
          </w:p>
        </w:tc>
      </w:tr>
    </w:tbl>
    <w:p w14:paraId="66912F25">
      <w:pPr>
        <w:spacing w:before="120" w:after="0"/>
      </w:pPr>
    </w:p>
    <w:p w14:paraId="2FDAB00E">
      <w:pPr>
        <w:pStyle w:val="3"/>
        <w:spacing w:before="280" w:after="120"/>
      </w:pPr>
      <w:r>
        <w:rPr>
          <w:rFonts w:ascii="Arial" w:hAnsi="Arial" w:eastAsia="Arial" w:cs="Arial"/>
          <w:b/>
          <w:bCs/>
          <w:color w:val="2E5FA3"/>
          <w:sz w:val="26"/>
          <w:szCs w:val="26"/>
        </w:rPr>
        <w:t>3.2  Target User Groups &amp; Stakeholders</w:t>
      </w:r>
    </w:p>
    <w:p w14:paraId="0522A9EC">
      <w:pPr>
        <w:spacing w:before="60" w:after="0"/>
      </w:pPr>
    </w:p>
    <w:p w14:paraId="49037C1C">
      <w:pPr>
        <w:spacing w:before="60" w:after="80"/>
      </w:pPr>
      <w:r>
        <w:rPr>
          <w:rFonts w:ascii="Arial" w:hAnsi="Arial" w:eastAsia="Arial" w:cs="Arial"/>
          <w:color w:val="4A4A4A"/>
          <w:sz w:val="22"/>
          <w:szCs w:val="22"/>
        </w:rPr>
        <w:t>The FinGuard platform is designed to serve the following user categories:</w:t>
      </w:r>
    </w:p>
    <w:p w14:paraId="1EA7903D">
      <w:pPr>
        <w:spacing w:before="60" w:after="0"/>
      </w:pPr>
    </w:p>
    <w:p w14:paraId="6B1A8E73">
      <w:pPr>
        <w:pStyle w:val="16"/>
        <w:numPr>
          <w:ilvl w:val="0"/>
          <w:numId w:val="1"/>
        </w:numPr>
        <w:spacing w:before="40" w:after="40"/>
      </w:pPr>
      <w:r>
        <w:rPr>
          <w:rFonts w:ascii="Arial" w:hAnsi="Arial" w:eastAsia="Arial" w:cs="Arial"/>
          <w:color w:val="4A4A4A"/>
          <w:sz w:val="22"/>
          <w:szCs w:val="22"/>
        </w:rPr>
        <w:t>Banks and NBFCs — Retail lending desks requiring automated real-time loan decisioning and underwriter support.</w:t>
      </w:r>
    </w:p>
    <w:p w14:paraId="23D09011">
      <w:pPr>
        <w:pStyle w:val="16"/>
        <w:numPr>
          <w:ilvl w:val="0"/>
          <w:numId w:val="1"/>
        </w:numPr>
        <w:spacing w:before="40" w:after="40"/>
      </w:pPr>
      <w:r>
        <w:rPr>
          <w:rFonts w:ascii="Arial" w:hAnsi="Arial" w:eastAsia="Arial" w:cs="Arial"/>
          <w:color w:val="4A4A4A"/>
          <w:sz w:val="22"/>
          <w:szCs w:val="22"/>
        </w:rPr>
        <w:t>Fraud Investigation Teams — Risk officers who need to flag and review anomalous applicant profiles before disbursement.</w:t>
      </w:r>
    </w:p>
    <w:p w14:paraId="1D5AF0EE">
      <w:pPr>
        <w:pStyle w:val="16"/>
        <w:numPr>
          <w:ilvl w:val="0"/>
          <w:numId w:val="1"/>
        </w:numPr>
        <w:spacing w:before="40" w:after="40"/>
      </w:pPr>
      <w:r>
        <w:rPr>
          <w:rFonts w:ascii="Arial" w:hAnsi="Arial" w:eastAsia="Arial" w:cs="Arial"/>
          <w:color w:val="4A4A4A"/>
          <w:sz w:val="22"/>
          <w:szCs w:val="22"/>
        </w:rPr>
        <w:t>Compliance and Audit Departments — Teams responsible for AML screening, KYC validation, and regulatory reporting.</w:t>
      </w:r>
    </w:p>
    <w:p w14:paraId="5B47F4DB">
      <w:pPr>
        <w:pStyle w:val="16"/>
        <w:numPr>
          <w:ilvl w:val="0"/>
          <w:numId w:val="1"/>
        </w:numPr>
        <w:spacing w:before="40" w:after="40"/>
      </w:pPr>
      <w:r>
        <w:rPr>
          <w:rFonts w:ascii="Arial" w:hAnsi="Arial" w:eastAsia="Arial" w:cs="Arial"/>
          <w:color w:val="4A4A4A"/>
          <w:sz w:val="22"/>
          <w:szCs w:val="22"/>
        </w:rPr>
        <w:t>Risk Management Desks — Quantitative analysts running portfolio-level VaR, CVaR, and stress tests for capital provisioning.</w:t>
      </w:r>
    </w:p>
    <w:p w14:paraId="60FB6E92">
      <w:pPr>
        <w:pStyle w:val="16"/>
        <w:numPr>
          <w:ilvl w:val="0"/>
          <w:numId w:val="1"/>
        </w:numPr>
        <w:spacing w:before="40" w:after="40"/>
      </w:pPr>
      <w:r>
        <w:rPr>
          <w:rFonts w:ascii="Arial" w:hAnsi="Arial" w:eastAsia="Arial" w:cs="Arial"/>
          <w:color w:val="4A4A4A"/>
          <w:sz w:val="22"/>
          <w:szCs w:val="22"/>
        </w:rPr>
        <w:t>Digital Onboarding Platforms — Customer-facing teams requiring fully automated, AI-powered identity verification.</w:t>
      </w:r>
    </w:p>
    <w:p w14:paraId="3C5D3FE5">
      <w:pPr>
        <w:pStyle w:val="16"/>
        <w:numPr>
          <w:ilvl w:val="0"/>
          <w:numId w:val="1"/>
        </w:numPr>
        <w:spacing w:before="40" w:after="40"/>
      </w:pPr>
      <w:r>
        <w:rPr>
          <w:rFonts w:ascii="Arial" w:hAnsi="Arial" w:eastAsia="Arial" w:cs="Arial"/>
          <w:color w:val="4A4A4A"/>
          <w:sz w:val="22"/>
          <w:szCs w:val="22"/>
        </w:rPr>
        <w:t>Portfolio Analytics Teams — Business intelligence teams tracking default rates, exposure, and segment performance.</w:t>
      </w:r>
    </w:p>
    <w:p w14:paraId="12F60E37">
      <w:r>
        <w:br w:type="page"/>
      </w:r>
    </w:p>
    <w:p w14:paraId="434D73BA">
      <w:pPr>
        <w:shd w:val="clear" w:fill="1B3A6B"/>
        <w:spacing w:before="300" w:after="100"/>
      </w:pPr>
      <w:r>
        <w:rPr>
          <w:rFonts w:ascii="Arial" w:hAnsi="Arial" w:eastAsia="Arial" w:cs="Arial"/>
          <w:b/>
          <w:bCs/>
          <w:color w:val="00D4FF"/>
          <w:sz w:val="28"/>
          <w:szCs w:val="28"/>
        </w:rPr>
        <w:t xml:space="preserve">  4  </w:t>
      </w:r>
      <w:r>
        <w:rPr>
          <w:rFonts w:ascii="Arial" w:hAnsi="Arial" w:eastAsia="Arial" w:cs="Arial"/>
          <w:b/>
          <w:bCs/>
          <w:color w:val="FFFFFF"/>
          <w:sz w:val="28"/>
          <w:szCs w:val="28"/>
        </w:rPr>
        <w:t>Functional Requirements</w:t>
      </w:r>
    </w:p>
    <w:p w14:paraId="53636AB3">
      <w:pPr>
        <w:spacing w:before="100" w:after="0"/>
      </w:pPr>
    </w:p>
    <w:p w14:paraId="2597680B">
      <w:pPr>
        <w:pStyle w:val="3"/>
        <w:spacing w:before="280" w:after="120"/>
      </w:pPr>
      <w:r>
        <w:rPr>
          <w:rFonts w:ascii="Arial" w:hAnsi="Arial" w:eastAsia="Arial" w:cs="Arial"/>
          <w:b/>
          <w:bCs/>
          <w:color w:val="2E5FA3"/>
          <w:sz w:val="26"/>
          <w:szCs w:val="26"/>
        </w:rPr>
        <w:t>4.1  Module A — Financial Analytics &amp; EDA Dashboard</w:t>
      </w:r>
    </w:p>
    <w:p w14:paraId="7351FAB7">
      <w:pPr>
        <w:spacing w:before="60" w:after="80"/>
      </w:pPr>
      <w:r>
        <w:rPr>
          <w:rFonts w:ascii="Arial" w:hAnsi="Arial" w:eastAsia="Arial" w:cs="Arial"/>
          <w:color w:val="4A4A4A"/>
          <w:sz w:val="22"/>
          <w:szCs w:val="22"/>
        </w:rPr>
        <w:t>The Financial Analytics module serves as the foundational data exploration layer of the FinGuard platform. It enables analysts and risk officers to understand the characteristics of the loan portfolio before making underwriting or policy decisions.</w:t>
      </w:r>
    </w:p>
    <w:p w14:paraId="0CB661F0">
      <w:pPr>
        <w:spacing w:before="80" w:after="0"/>
      </w:pPr>
    </w:p>
    <w:p w14:paraId="5360671B">
      <w:pPr>
        <w:pStyle w:val="4"/>
        <w:spacing w:before="200" w:after="80"/>
      </w:pPr>
      <w:r>
        <w:rPr>
          <w:rFonts w:ascii="Arial" w:hAnsi="Arial" w:eastAsia="Arial" w:cs="Arial"/>
          <w:b/>
          <w:bCs/>
          <w:color w:val="1B3A6B"/>
          <w:sz w:val="22"/>
          <w:szCs w:val="22"/>
        </w:rPr>
        <w:t>4.1.1  Data Requirements</w:t>
      </w:r>
    </w:p>
    <w:p w14:paraId="4D4A08ED">
      <w:pPr>
        <w:pStyle w:val="16"/>
        <w:numPr>
          <w:ilvl w:val="0"/>
          <w:numId w:val="1"/>
        </w:numPr>
        <w:spacing w:before="40" w:after="40"/>
      </w:pPr>
      <w:r>
        <w:rPr>
          <w:rFonts w:ascii="Arial" w:hAnsi="Arial" w:eastAsia="Arial" w:cs="Arial"/>
          <w:color w:val="4A4A4A"/>
          <w:sz w:val="22"/>
          <w:szCs w:val="22"/>
        </w:rPr>
        <w:t>The system shall ingest a structured loan applicant dataset containing the following minimum fields: applicant income, loan amount, loan grade, employment status, age, Debt-to-Income (DTI) ratio, and default status (binary: 0 = no default, 1 = default).</w:t>
      </w:r>
    </w:p>
    <w:p w14:paraId="633603FE">
      <w:pPr>
        <w:pStyle w:val="16"/>
        <w:numPr>
          <w:ilvl w:val="0"/>
          <w:numId w:val="1"/>
        </w:numPr>
        <w:spacing w:before="40" w:after="40"/>
      </w:pPr>
      <w:r>
        <w:rPr>
          <w:rFonts w:ascii="Arial" w:hAnsi="Arial" w:eastAsia="Arial" w:cs="Arial"/>
          <w:color w:val="4A4A4A"/>
          <w:sz w:val="22"/>
          <w:szCs w:val="22"/>
        </w:rPr>
        <w:t>The dataset shall be loaded at application startup and cached for the duration of the session.</w:t>
      </w:r>
    </w:p>
    <w:p w14:paraId="5AB53A56">
      <w:pPr>
        <w:spacing w:before="80" w:after="0"/>
      </w:pPr>
    </w:p>
    <w:p w14:paraId="3E573DB5">
      <w:pPr>
        <w:pStyle w:val="4"/>
        <w:spacing w:before="200" w:after="80"/>
      </w:pPr>
      <w:r>
        <w:rPr>
          <w:rFonts w:ascii="Arial" w:hAnsi="Arial" w:eastAsia="Arial" w:cs="Arial"/>
          <w:b/>
          <w:bCs/>
          <w:color w:val="1B3A6B"/>
          <w:sz w:val="22"/>
          <w:szCs w:val="22"/>
        </w:rPr>
        <w:t>4.1.2  Dashboard Tabs &amp; Visualisations</w:t>
      </w:r>
    </w:p>
    <w:p w14:paraId="5E434D13">
      <w:pPr>
        <w:pStyle w:val="16"/>
        <w:numPr>
          <w:ilvl w:val="0"/>
          <w:numId w:val="1"/>
        </w:numPr>
        <w:spacing w:before="40" w:after="40"/>
      </w:pPr>
      <w:r>
        <w:rPr>
          <w:rFonts w:ascii="Arial" w:hAnsi="Arial" w:eastAsia="Arial" w:cs="Arial"/>
          <w:color w:val="4A4A4A"/>
          <w:sz w:val="22"/>
          <w:szCs w:val="22"/>
        </w:rPr>
        <w:t>Risk Analysis Tab: Shall display scatter plots of income versus loan amount with default overlay, and age distribution segmented by default status.</w:t>
      </w:r>
    </w:p>
    <w:p w14:paraId="3063B45E">
      <w:pPr>
        <w:pStyle w:val="16"/>
        <w:numPr>
          <w:ilvl w:val="0"/>
          <w:numId w:val="1"/>
        </w:numPr>
        <w:spacing w:before="40" w:after="40"/>
      </w:pPr>
      <w:r>
        <w:rPr>
          <w:rFonts w:ascii="Arial" w:hAnsi="Arial" w:eastAsia="Arial" w:cs="Arial"/>
          <w:color w:val="4A4A4A"/>
          <w:sz w:val="22"/>
          <w:szCs w:val="22"/>
        </w:rPr>
        <w:t>Demographics Tab: Shall display income distribution histograms (40 bins), loan amount distribution charts, and a summary statistics panel showing total loan records, model accuracy, default rate, and number of analytical tabs.</w:t>
      </w:r>
    </w:p>
    <w:p w14:paraId="3836B535">
      <w:pPr>
        <w:pStyle w:val="16"/>
        <w:numPr>
          <w:ilvl w:val="0"/>
          <w:numId w:val="1"/>
        </w:numPr>
        <w:spacing w:before="40" w:after="40"/>
      </w:pPr>
      <w:r>
        <w:rPr>
          <w:rFonts w:ascii="Arial" w:hAnsi="Arial" w:eastAsia="Arial" w:cs="Arial"/>
          <w:color w:val="4A4A4A"/>
          <w:sz w:val="22"/>
          <w:szCs w:val="22"/>
        </w:rPr>
        <w:t>Correlations Tab: Shall display a correlation heatmap of all numerical features to reveal multicollinearity and feature relationships.</w:t>
      </w:r>
    </w:p>
    <w:p w14:paraId="30DE803B">
      <w:pPr>
        <w:spacing w:before="80" w:after="0"/>
      </w:pPr>
    </w:p>
    <w:p w14:paraId="739E3CF2">
      <w:pPr>
        <w:pStyle w:val="4"/>
        <w:spacing w:before="200" w:after="80"/>
      </w:pPr>
      <w:r>
        <w:rPr>
          <w:rFonts w:ascii="Arial" w:hAnsi="Arial" w:eastAsia="Arial" w:cs="Arial"/>
          <w:b/>
          <w:bCs/>
          <w:color w:val="1B3A6B"/>
          <w:sz w:val="22"/>
          <w:szCs w:val="22"/>
        </w:rPr>
        <w:t>4.1.3  Summary Metrics</w:t>
      </w:r>
    </w:p>
    <w:p w14:paraId="5DAC202C">
      <w:pPr>
        <w:pStyle w:val="16"/>
        <w:numPr>
          <w:ilvl w:val="0"/>
          <w:numId w:val="1"/>
        </w:numPr>
        <w:spacing w:before="40" w:after="40"/>
      </w:pPr>
      <w:r>
        <w:rPr>
          <w:rFonts w:ascii="Arial" w:hAnsi="Arial" w:eastAsia="Arial" w:cs="Arial"/>
          <w:color w:val="4A4A4A"/>
          <w:sz w:val="22"/>
          <w:szCs w:val="22"/>
        </w:rPr>
        <w:t>Total Loan Records: count of all applicants in the loaded dataset.</w:t>
      </w:r>
    </w:p>
    <w:p w14:paraId="05F28A3C">
      <w:pPr>
        <w:pStyle w:val="16"/>
        <w:numPr>
          <w:ilvl w:val="0"/>
          <w:numId w:val="1"/>
        </w:numPr>
        <w:spacing w:before="40" w:after="40"/>
      </w:pPr>
      <w:r>
        <w:rPr>
          <w:rFonts w:ascii="Arial" w:hAnsi="Arial" w:eastAsia="Arial" w:cs="Arial"/>
          <w:color w:val="4A4A4A"/>
          <w:sz w:val="22"/>
          <w:szCs w:val="22"/>
        </w:rPr>
        <w:t>Model Accuracy: percentage accuracy of the trained Random Forest classifier (baseline 90%).</w:t>
      </w:r>
    </w:p>
    <w:p w14:paraId="49DD307F">
      <w:pPr>
        <w:pStyle w:val="16"/>
        <w:numPr>
          <w:ilvl w:val="0"/>
          <w:numId w:val="1"/>
        </w:numPr>
        <w:spacing w:before="40" w:after="40"/>
      </w:pPr>
      <w:r>
        <w:rPr>
          <w:rFonts w:ascii="Arial" w:hAnsi="Arial" w:eastAsia="Arial" w:cs="Arial"/>
          <w:color w:val="4A4A4A"/>
          <w:sz w:val="22"/>
          <w:szCs w:val="22"/>
        </w:rPr>
        <w:t>Default Rate: percentage of applicants classified as default (baseline 38%).</w:t>
      </w:r>
    </w:p>
    <w:p w14:paraId="4476FC1F">
      <w:pPr>
        <w:pStyle w:val="16"/>
        <w:numPr>
          <w:ilvl w:val="0"/>
          <w:numId w:val="1"/>
        </w:numPr>
        <w:spacing w:before="40" w:after="40"/>
      </w:pPr>
      <w:r>
        <w:rPr>
          <w:rFonts w:ascii="Arial" w:hAnsi="Arial" w:eastAsia="Arial" w:cs="Arial"/>
          <w:color w:val="4A4A4A"/>
          <w:sz w:val="22"/>
          <w:szCs w:val="22"/>
        </w:rPr>
        <w:t>Dashboard Tabs: count of analysis sub-sections available.</w:t>
      </w:r>
    </w:p>
    <w:p w14:paraId="25C9A73F">
      <w:pPr>
        <w:spacing w:before="120" w:after="0"/>
      </w:pPr>
    </w:p>
    <w:p w14:paraId="434C5AD8">
      <w:pPr>
        <w:pStyle w:val="3"/>
        <w:spacing w:before="280" w:after="120"/>
      </w:pPr>
      <w:r>
        <w:rPr>
          <w:rFonts w:ascii="Arial" w:hAnsi="Arial" w:eastAsia="Arial" w:cs="Arial"/>
          <w:b/>
          <w:bCs/>
          <w:color w:val="2E5FA3"/>
          <w:sz w:val="26"/>
          <w:szCs w:val="26"/>
        </w:rPr>
        <w:t>4.2  Module D — Risk &amp; Compliance Dashboard</w:t>
      </w:r>
    </w:p>
    <w:p w14:paraId="129EFFB7">
      <w:pPr>
        <w:spacing w:before="60" w:after="80"/>
      </w:pPr>
      <w:r>
        <w:rPr>
          <w:rFonts w:ascii="Arial" w:hAnsi="Arial" w:eastAsia="Arial" w:cs="Arial"/>
          <w:color w:val="4A4A4A"/>
          <w:sz w:val="22"/>
          <w:szCs w:val="22"/>
        </w:rPr>
        <w:t>The Risk &amp; Compliance module provides quantitative risk analytics aligned with Basel III risk measurement standards and RBI regulatory requirements.</w:t>
      </w:r>
    </w:p>
    <w:p w14:paraId="49B2C4D8">
      <w:pPr>
        <w:spacing w:before="80" w:after="0"/>
      </w:pPr>
    </w:p>
    <w:p w14:paraId="7AB1CC3F">
      <w:pPr>
        <w:pStyle w:val="4"/>
        <w:spacing w:before="200" w:after="80"/>
      </w:pPr>
      <w:r>
        <w:rPr>
          <w:rFonts w:ascii="Arial" w:hAnsi="Arial" w:eastAsia="Arial" w:cs="Arial"/>
          <w:b/>
          <w:bCs/>
          <w:color w:val="1B3A6B"/>
          <w:sz w:val="22"/>
          <w:szCs w:val="22"/>
        </w:rPr>
        <w:t>4.2.1  Value at Risk (VaR) Computation</w:t>
      </w:r>
    </w:p>
    <w:p w14:paraId="38D3DCE9">
      <w:pPr>
        <w:pStyle w:val="16"/>
        <w:numPr>
          <w:ilvl w:val="0"/>
          <w:numId w:val="1"/>
        </w:numPr>
        <w:spacing w:before="40" w:after="40"/>
      </w:pPr>
      <w:r>
        <w:rPr>
          <w:rFonts w:ascii="Arial" w:hAnsi="Arial" w:eastAsia="Arial" w:cs="Arial"/>
          <w:color w:val="4A4A4A"/>
          <w:sz w:val="22"/>
          <w:szCs w:val="22"/>
        </w:rPr>
        <w:t>The system shall compute 1-day Value at Risk at configurable confidence levels (minimum 95%).</w:t>
      </w:r>
    </w:p>
    <w:p w14:paraId="3DC7788E">
      <w:pPr>
        <w:pStyle w:val="16"/>
        <w:numPr>
          <w:ilvl w:val="0"/>
          <w:numId w:val="1"/>
        </w:numPr>
        <w:spacing w:before="40" w:after="40"/>
      </w:pPr>
      <w:r>
        <w:rPr>
          <w:rFonts w:ascii="Arial" w:hAnsi="Arial" w:eastAsia="Arial" w:cs="Arial"/>
          <w:color w:val="4A4A4A"/>
          <w:sz w:val="22"/>
          <w:szCs w:val="22"/>
        </w:rPr>
        <w:t>The system shall visualise the portfolio Profit &amp; Loss distribution as a histogram with a vertical VaR cut-off line.</w:t>
      </w:r>
    </w:p>
    <w:p w14:paraId="5AB0C9AE">
      <w:pPr>
        <w:pStyle w:val="16"/>
        <w:numPr>
          <w:ilvl w:val="0"/>
          <w:numId w:val="1"/>
        </w:numPr>
        <w:spacing w:before="40" w:after="40"/>
      </w:pPr>
      <w:r>
        <w:rPr>
          <w:rFonts w:ascii="Arial" w:hAnsi="Arial" w:eastAsia="Arial" w:cs="Arial"/>
          <w:color w:val="4A4A4A"/>
          <w:sz w:val="22"/>
          <w:szCs w:val="22"/>
        </w:rPr>
        <w:t>Default output: VaR at 95% confidence = $316,056 for the reference portfolio.</w:t>
      </w:r>
    </w:p>
    <w:p w14:paraId="3289DCF0">
      <w:pPr>
        <w:spacing w:before="80" w:after="0"/>
      </w:pPr>
    </w:p>
    <w:p w14:paraId="0B73F35A">
      <w:pPr>
        <w:pStyle w:val="4"/>
        <w:spacing w:before="200" w:after="80"/>
      </w:pPr>
      <w:r>
        <w:rPr>
          <w:rFonts w:ascii="Arial" w:hAnsi="Arial" w:eastAsia="Arial" w:cs="Arial"/>
          <w:b/>
          <w:bCs/>
          <w:color w:val="1B3A6B"/>
          <w:sz w:val="22"/>
          <w:szCs w:val="22"/>
        </w:rPr>
        <w:t>4.2.2  Expected Shortfall (CVaR)</w:t>
      </w:r>
    </w:p>
    <w:p w14:paraId="1593D8BB">
      <w:pPr>
        <w:pStyle w:val="16"/>
        <w:numPr>
          <w:ilvl w:val="0"/>
          <w:numId w:val="1"/>
        </w:numPr>
        <w:spacing w:before="40" w:after="40"/>
      </w:pPr>
      <w:r>
        <w:rPr>
          <w:rFonts w:ascii="Arial" w:hAnsi="Arial" w:eastAsia="Arial" w:cs="Arial"/>
          <w:color w:val="4A4A4A"/>
          <w:sz w:val="22"/>
          <w:szCs w:val="22"/>
        </w:rPr>
        <w:t>The system shall compute Conditional Value at Risk (CVaR), defined as the average portfolio loss in scenarios that exceed the VaR threshold.</w:t>
      </w:r>
    </w:p>
    <w:p w14:paraId="3237328E">
      <w:pPr>
        <w:pStyle w:val="16"/>
        <w:numPr>
          <w:ilvl w:val="0"/>
          <w:numId w:val="1"/>
        </w:numPr>
        <w:spacing w:before="40" w:after="40"/>
      </w:pPr>
      <w:r>
        <w:rPr>
          <w:rFonts w:ascii="Arial" w:hAnsi="Arial" w:eastAsia="Arial" w:cs="Arial"/>
          <w:color w:val="4A4A4A"/>
          <w:sz w:val="22"/>
          <w:szCs w:val="22"/>
        </w:rPr>
        <w:t>CVaR provides a fuller picture of tail risk beyond the VaR cut-off. Default output: CVaR = $402,131.</w:t>
      </w:r>
    </w:p>
    <w:p w14:paraId="1980E04A">
      <w:pPr>
        <w:spacing w:before="80" w:after="0"/>
      </w:pPr>
    </w:p>
    <w:p w14:paraId="391E63B4">
      <w:pPr>
        <w:pStyle w:val="4"/>
        <w:spacing w:before="200" w:after="80"/>
      </w:pPr>
      <w:r>
        <w:rPr>
          <w:rFonts w:ascii="Arial" w:hAnsi="Arial" w:eastAsia="Arial" w:cs="Arial"/>
          <w:b/>
          <w:bCs/>
          <w:color w:val="1B3A6B"/>
          <w:sz w:val="22"/>
          <w:szCs w:val="22"/>
        </w:rPr>
        <w:t>4.2.3  Expected Loss (EL) Computation</w:t>
      </w:r>
    </w:p>
    <w:p w14:paraId="610FEC08">
      <w:pPr>
        <w:pStyle w:val="16"/>
        <w:numPr>
          <w:ilvl w:val="0"/>
          <w:numId w:val="1"/>
        </w:numPr>
        <w:spacing w:before="40" w:after="40"/>
      </w:pPr>
      <w:r>
        <w:rPr>
          <w:rFonts w:ascii="Arial" w:hAnsi="Arial" w:eastAsia="Arial" w:cs="Arial"/>
          <w:color w:val="4A4A4A"/>
          <w:sz w:val="22"/>
          <w:szCs w:val="22"/>
        </w:rPr>
        <w:t>The system shall compute Expected Loss per applicant using the formula: EL = PD (Probability of Default) × LGD (Loss Given Default) × EAD (Exposure at Default).</w:t>
      </w:r>
    </w:p>
    <w:p w14:paraId="2A5510EF">
      <w:pPr>
        <w:pStyle w:val="16"/>
        <w:numPr>
          <w:ilvl w:val="0"/>
          <w:numId w:val="1"/>
        </w:numPr>
        <w:spacing w:before="40" w:after="40"/>
      </w:pPr>
      <w:r>
        <w:rPr>
          <w:rFonts w:ascii="Arial" w:hAnsi="Arial" w:eastAsia="Arial" w:cs="Arial"/>
          <w:color w:val="4A4A4A"/>
          <w:sz w:val="22"/>
          <w:szCs w:val="22"/>
        </w:rPr>
        <w:t>Results shall be displayed at both individual applicant and portfolio aggregate level.</w:t>
      </w:r>
    </w:p>
    <w:p w14:paraId="70901B09">
      <w:pPr>
        <w:pStyle w:val="16"/>
        <w:numPr>
          <w:ilvl w:val="0"/>
          <w:numId w:val="1"/>
        </w:numPr>
        <w:spacing w:before="40" w:after="40"/>
      </w:pPr>
      <w:r>
        <w:rPr>
          <w:rFonts w:ascii="Arial" w:hAnsi="Arial" w:eastAsia="Arial" w:cs="Arial"/>
          <w:color w:val="4A4A4A"/>
          <w:sz w:val="22"/>
          <w:szCs w:val="22"/>
        </w:rPr>
        <w:t>Default portfolio EL = $4,383 on a $10M reference portfolio.</w:t>
      </w:r>
    </w:p>
    <w:p w14:paraId="1082F85F">
      <w:pPr>
        <w:spacing w:before="80" w:after="0"/>
      </w:pPr>
    </w:p>
    <w:p w14:paraId="55CA9446">
      <w:pPr>
        <w:pStyle w:val="4"/>
        <w:spacing w:before="200" w:after="80"/>
      </w:pPr>
      <w:r>
        <w:rPr>
          <w:rFonts w:ascii="Arial" w:hAnsi="Arial" w:eastAsia="Arial" w:cs="Arial"/>
          <w:b/>
          <w:bCs/>
          <w:color w:val="1B3A6B"/>
          <w:sz w:val="22"/>
          <w:szCs w:val="22"/>
        </w:rPr>
        <w:t>4.2.4  AML Engine</w:t>
      </w:r>
    </w:p>
    <w:p w14:paraId="1D0F3730">
      <w:pPr>
        <w:pStyle w:val="16"/>
        <w:numPr>
          <w:ilvl w:val="0"/>
          <w:numId w:val="1"/>
        </w:numPr>
        <w:spacing w:before="40" w:after="40"/>
      </w:pPr>
      <w:r>
        <w:rPr>
          <w:rFonts w:ascii="Arial" w:hAnsi="Arial" w:eastAsia="Arial" w:cs="Arial"/>
          <w:color w:val="4A4A4A"/>
          <w:sz w:val="22"/>
          <w:szCs w:val="22"/>
        </w:rPr>
        <w:t>The system shall screen each customer against the following risk factors: declared annual income, requested loan size, country of origin, estimated transaction frequency, and Politically Exposed Person (PEP) status.</w:t>
      </w:r>
    </w:p>
    <w:p w14:paraId="56F7DA5B">
      <w:pPr>
        <w:pStyle w:val="16"/>
        <w:numPr>
          <w:ilvl w:val="0"/>
          <w:numId w:val="1"/>
        </w:numPr>
        <w:spacing w:before="40" w:after="40"/>
      </w:pPr>
      <w:r>
        <w:rPr>
          <w:rFonts w:ascii="Arial" w:hAnsi="Arial" w:eastAsia="Arial" w:cs="Arial"/>
          <w:color w:val="4A4A4A"/>
          <w:sz w:val="22"/>
          <w:szCs w:val="22"/>
        </w:rPr>
        <w:t>The engine shall output a composite AML score from 0 to 100 with risk classification: LOW (0–33), MEDIUM (34–66), and HIGH (67–100).</w:t>
      </w:r>
    </w:p>
    <w:p w14:paraId="29905515">
      <w:pPr>
        <w:spacing w:before="80" w:after="0"/>
      </w:pPr>
    </w:p>
    <w:p w14:paraId="25F3E915">
      <w:pPr>
        <w:pStyle w:val="4"/>
        <w:spacing w:before="200" w:after="80"/>
      </w:pPr>
      <w:r>
        <w:rPr>
          <w:rFonts w:ascii="Arial" w:hAnsi="Arial" w:eastAsia="Arial" w:cs="Arial"/>
          <w:b/>
          <w:bCs/>
          <w:color w:val="1B3A6B"/>
          <w:sz w:val="22"/>
          <w:szCs w:val="22"/>
        </w:rPr>
        <w:t>4.2.5  Regulatory Compliance Checklist</w:t>
      </w:r>
    </w:p>
    <w:p w14:paraId="5FFD3DA9">
      <w:pPr>
        <w:pStyle w:val="16"/>
        <w:numPr>
          <w:ilvl w:val="0"/>
          <w:numId w:val="1"/>
        </w:numPr>
        <w:spacing w:before="40" w:after="40"/>
      </w:pPr>
      <w:r>
        <w:rPr>
          <w:rFonts w:ascii="Arial" w:hAnsi="Arial" w:eastAsia="Arial" w:cs="Arial"/>
          <w:color w:val="4A4A4A"/>
          <w:sz w:val="22"/>
          <w:szCs w:val="22"/>
        </w:rPr>
        <w:t>KYC/AML Checks: PAN/Aadhaar identity verification, source of funds declaration, AML screening result, PEP check — target 4/5 checks passed.</w:t>
      </w:r>
    </w:p>
    <w:p w14:paraId="7CEE9724">
      <w:pPr>
        <w:pStyle w:val="16"/>
        <w:numPr>
          <w:ilvl w:val="0"/>
          <w:numId w:val="1"/>
        </w:numPr>
        <w:spacing w:before="40" w:after="40"/>
      </w:pPr>
      <w:r>
        <w:rPr>
          <w:rFonts w:ascii="Arial" w:hAnsi="Arial" w:eastAsia="Arial" w:cs="Arial"/>
          <w:color w:val="4A4A4A"/>
          <w:sz w:val="22"/>
          <w:szCs w:val="22"/>
        </w:rPr>
        <w:t>RBI Guidelines Tracker: Fair Practice Code adherence, interest rate disclosure, cooling-off period compliance, digital loan agreement validation — target 5/5 checks passed.</w:t>
      </w:r>
    </w:p>
    <w:p w14:paraId="52D6B9D7">
      <w:pPr>
        <w:spacing w:before="120" w:after="0"/>
      </w:pPr>
    </w:p>
    <w:p w14:paraId="2BAA51C6">
      <w:pPr>
        <w:pStyle w:val="3"/>
        <w:spacing w:before="280" w:after="120"/>
      </w:pPr>
      <w:r>
        <w:rPr>
          <w:rFonts w:ascii="Arial" w:hAnsi="Arial" w:eastAsia="Arial" w:cs="Arial"/>
          <w:b/>
          <w:bCs/>
          <w:color w:val="2E5FA3"/>
          <w:sz w:val="26"/>
          <w:szCs w:val="26"/>
        </w:rPr>
        <w:t>4.3  Module B — Fraud Detection &amp; Anomaly Engine</w:t>
      </w:r>
    </w:p>
    <w:p w14:paraId="530FAA6E">
      <w:pPr>
        <w:spacing w:before="60" w:after="80"/>
      </w:pPr>
      <w:r>
        <w:rPr>
          <w:rFonts w:ascii="Arial" w:hAnsi="Arial" w:eastAsia="Arial" w:cs="Arial"/>
          <w:color w:val="4A4A4A"/>
          <w:sz w:val="22"/>
          <w:szCs w:val="22"/>
        </w:rPr>
        <w:t>The Fraud Detection module uses unsupervised machine learning to identify credit profiles that deviate significantly from normal applicant behaviour.</w:t>
      </w:r>
    </w:p>
    <w:p w14:paraId="126B95C2">
      <w:pPr>
        <w:spacing w:before="80" w:after="0"/>
      </w:pPr>
    </w:p>
    <w:p w14:paraId="437E4D5D">
      <w:pPr>
        <w:pStyle w:val="4"/>
        <w:spacing w:before="200" w:after="80"/>
      </w:pPr>
      <w:r>
        <w:rPr>
          <w:rFonts w:ascii="Arial" w:hAnsi="Arial" w:eastAsia="Arial" w:cs="Arial"/>
          <w:b/>
          <w:bCs/>
          <w:color w:val="1B3A6B"/>
          <w:sz w:val="22"/>
          <w:szCs w:val="22"/>
        </w:rPr>
        <w:t>4.3.1  Isolation Forest Anomaly Detection</w:t>
      </w:r>
    </w:p>
    <w:p w14:paraId="6CBD6565">
      <w:pPr>
        <w:pStyle w:val="16"/>
        <w:numPr>
          <w:ilvl w:val="0"/>
          <w:numId w:val="1"/>
        </w:numPr>
        <w:spacing w:before="40" w:after="40"/>
      </w:pPr>
      <w:r>
        <w:rPr>
          <w:rFonts w:ascii="Arial" w:hAnsi="Arial" w:eastAsia="Arial" w:cs="Arial"/>
          <w:color w:val="4A4A4A"/>
          <w:sz w:val="22"/>
          <w:szCs w:val="22"/>
        </w:rPr>
        <w:t>The system shall apply an Isolation Forest algorithm to the applicant feature set to classify each record as Normal or Suspicious.</w:t>
      </w:r>
    </w:p>
    <w:p w14:paraId="4247B46D">
      <w:pPr>
        <w:pStyle w:val="16"/>
        <w:numPr>
          <w:ilvl w:val="0"/>
          <w:numId w:val="1"/>
        </w:numPr>
        <w:spacing w:before="40" w:after="40"/>
      </w:pPr>
      <w:r>
        <w:rPr>
          <w:rFonts w:ascii="Arial" w:hAnsi="Arial" w:eastAsia="Arial" w:cs="Arial"/>
          <w:color w:val="4A4A4A"/>
          <w:sz w:val="22"/>
          <w:szCs w:val="22"/>
        </w:rPr>
        <w:t>The system shall display an Income vs Loan Amount scatter map with anomalous records highlighted in red and normal records in a contrasting colour.</w:t>
      </w:r>
    </w:p>
    <w:p w14:paraId="1548A1F8">
      <w:pPr>
        <w:pStyle w:val="16"/>
        <w:numPr>
          <w:ilvl w:val="0"/>
          <w:numId w:val="1"/>
        </w:numPr>
        <w:spacing w:before="40" w:after="40"/>
      </w:pPr>
      <w:r>
        <w:rPr>
          <w:rFonts w:ascii="Arial" w:hAnsi="Arial" w:eastAsia="Arial" w:cs="Arial"/>
          <w:color w:val="4A4A4A"/>
          <w:sz w:val="22"/>
          <w:szCs w:val="22"/>
        </w:rPr>
        <w:t>A configurable Expected Fraud Rate slider (default: 5%) shall allow analysts to adjust the contamination parameter of the Isolation Forest model.</w:t>
      </w:r>
    </w:p>
    <w:p w14:paraId="45BAC373">
      <w:pPr>
        <w:pStyle w:val="16"/>
        <w:numPr>
          <w:ilvl w:val="0"/>
          <w:numId w:val="1"/>
        </w:numPr>
        <w:spacing w:before="40" w:after="40"/>
      </w:pPr>
      <w:r>
        <w:rPr>
          <w:rFonts w:ascii="Arial" w:hAnsi="Arial" w:eastAsia="Arial" w:cs="Arial"/>
          <w:color w:val="4A4A4A"/>
          <w:sz w:val="22"/>
          <w:szCs w:val="22"/>
        </w:rPr>
        <w:t>Output metrics: number of suspicious profiles, number of normal profiles, and computed fraud rate percentage.</w:t>
      </w:r>
    </w:p>
    <w:p w14:paraId="4CB48BBB">
      <w:pPr>
        <w:spacing w:before="80" w:after="0"/>
      </w:pPr>
    </w:p>
    <w:p w14:paraId="0D054DF2">
      <w:pPr>
        <w:pStyle w:val="4"/>
        <w:spacing w:before="200" w:after="80"/>
      </w:pPr>
      <w:r>
        <w:rPr>
          <w:rFonts w:ascii="Arial" w:hAnsi="Arial" w:eastAsia="Arial" w:cs="Arial"/>
          <w:b/>
          <w:bCs/>
          <w:color w:val="1B3A6B"/>
          <w:sz w:val="22"/>
          <w:szCs w:val="22"/>
        </w:rPr>
        <w:t>4.3.2  K-Means Customer Segmentation</w:t>
      </w:r>
    </w:p>
    <w:p w14:paraId="1813654B">
      <w:pPr>
        <w:pStyle w:val="16"/>
        <w:numPr>
          <w:ilvl w:val="0"/>
          <w:numId w:val="1"/>
        </w:numPr>
        <w:spacing w:before="40" w:after="40"/>
      </w:pPr>
      <w:r>
        <w:rPr>
          <w:rFonts w:ascii="Arial" w:hAnsi="Arial" w:eastAsia="Arial" w:cs="Arial"/>
          <w:color w:val="4A4A4A"/>
          <w:sz w:val="22"/>
          <w:szCs w:val="22"/>
        </w:rPr>
        <w:t>The system shall segment the applicant population into behavioural clusters using the K-Means algorithm with a configurable K (default: K = 3).</w:t>
      </w:r>
    </w:p>
    <w:p w14:paraId="34E1EF85">
      <w:pPr>
        <w:pStyle w:val="16"/>
        <w:numPr>
          <w:ilvl w:val="0"/>
          <w:numId w:val="1"/>
        </w:numPr>
        <w:spacing w:before="40" w:after="40"/>
      </w:pPr>
      <w:r>
        <w:rPr>
          <w:rFonts w:ascii="Arial" w:hAnsi="Arial" w:eastAsia="Arial" w:cs="Arial"/>
          <w:color w:val="4A4A4A"/>
          <w:sz w:val="22"/>
          <w:szCs w:val="22"/>
        </w:rPr>
        <w:t>Each segment shall be profiled with average income, average loan amount, and default rate.</w:t>
      </w:r>
    </w:p>
    <w:p w14:paraId="00620637">
      <w:pPr>
        <w:pStyle w:val="16"/>
        <w:numPr>
          <w:ilvl w:val="0"/>
          <w:numId w:val="1"/>
        </w:numPr>
        <w:spacing w:before="40" w:after="40"/>
      </w:pPr>
      <w:r>
        <w:rPr>
          <w:rFonts w:ascii="Arial" w:hAnsi="Arial" w:eastAsia="Arial" w:cs="Arial"/>
          <w:color w:val="4A4A4A"/>
          <w:sz w:val="22"/>
          <w:szCs w:val="22"/>
        </w:rPr>
        <w:t>Reference segments: Segment 1 — High Income (avg ₹86K), Low Default (0%), classified as Premium Clients; Segment 2 — Mid Income (avg ₹41K), High Default (66%), classified as Risk Group; Segment 3 — Very High Income (avg ₹136K), No Default, classified as Safe High-Value.</w:t>
      </w:r>
    </w:p>
    <w:p w14:paraId="46EB84A7">
      <w:pPr>
        <w:spacing w:before="120" w:after="0"/>
      </w:pPr>
    </w:p>
    <w:p w14:paraId="7831DE83">
      <w:pPr>
        <w:pStyle w:val="3"/>
        <w:spacing w:before="280" w:after="120"/>
      </w:pPr>
      <w:r>
        <w:rPr>
          <w:rFonts w:ascii="Arial" w:hAnsi="Arial" w:eastAsia="Arial" w:cs="Arial"/>
          <w:b/>
          <w:bCs/>
          <w:color w:val="2E5FA3"/>
          <w:sz w:val="26"/>
          <w:szCs w:val="26"/>
        </w:rPr>
        <w:t>4.4  Module E — KYC Verification Engine</w:t>
      </w:r>
    </w:p>
    <w:p w14:paraId="7A5B5803">
      <w:pPr>
        <w:spacing w:before="60" w:after="80"/>
      </w:pPr>
      <w:r>
        <w:rPr>
          <w:rFonts w:ascii="Arial" w:hAnsi="Arial" w:eastAsia="Arial" w:cs="Arial"/>
          <w:color w:val="4A4A4A"/>
          <w:sz w:val="22"/>
          <w:szCs w:val="22"/>
        </w:rPr>
        <w:t>The KYC module replaces manual identity verification with an AI-driven computer vision pipeline, enabling real-time document validation and facial matching.</w:t>
      </w:r>
    </w:p>
    <w:p w14:paraId="68A46D93">
      <w:pPr>
        <w:spacing w:before="80" w:after="0"/>
      </w:pPr>
    </w:p>
    <w:p w14:paraId="7573F4D0">
      <w:pPr>
        <w:pStyle w:val="4"/>
        <w:spacing w:before="200" w:after="80"/>
      </w:pPr>
      <w:r>
        <w:rPr>
          <w:rFonts w:ascii="Arial" w:hAnsi="Arial" w:eastAsia="Arial" w:cs="Arial"/>
          <w:b/>
          <w:bCs/>
          <w:color w:val="1B3A6B"/>
          <w:sz w:val="22"/>
          <w:szCs w:val="22"/>
        </w:rPr>
        <w:t>4.4.1  Document Upload &amp; Parsing</w:t>
      </w:r>
    </w:p>
    <w:p w14:paraId="5F6759D0">
      <w:pPr>
        <w:pStyle w:val="16"/>
        <w:numPr>
          <w:ilvl w:val="0"/>
          <w:numId w:val="1"/>
        </w:numPr>
        <w:spacing w:before="40" w:after="40"/>
      </w:pPr>
      <w:r>
        <w:rPr>
          <w:rFonts w:ascii="Arial" w:hAnsi="Arial" w:eastAsia="Arial" w:cs="Arial"/>
          <w:color w:val="4A4A4A"/>
          <w:sz w:val="22"/>
          <w:szCs w:val="22"/>
        </w:rPr>
        <w:t>The system shall accept uploads of government-issued identity documents including PAN card, Aadhaar card, and Passport in standard image formats (JPG, PNG, PDF).</w:t>
      </w:r>
    </w:p>
    <w:p w14:paraId="6A3F81BC">
      <w:pPr>
        <w:pStyle w:val="16"/>
        <w:numPr>
          <w:ilvl w:val="0"/>
          <w:numId w:val="1"/>
        </w:numPr>
        <w:spacing w:before="40" w:after="40"/>
      </w:pPr>
      <w:r>
        <w:rPr>
          <w:rFonts w:ascii="Arial" w:hAnsi="Arial" w:eastAsia="Arial" w:cs="Arial"/>
          <w:color w:val="4A4A4A"/>
          <w:sz w:val="22"/>
          <w:szCs w:val="22"/>
        </w:rPr>
        <w:t>Uploaded documents shall be parsed and their data fields extracted and validated against the applicant's declared information.</w:t>
      </w:r>
    </w:p>
    <w:p w14:paraId="725D4EDD">
      <w:pPr>
        <w:spacing w:before="80" w:after="0"/>
      </w:pPr>
    </w:p>
    <w:p w14:paraId="79AE7CB8">
      <w:pPr>
        <w:pStyle w:val="4"/>
        <w:spacing w:before="200" w:after="80"/>
      </w:pPr>
      <w:r>
        <w:rPr>
          <w:rFonts w:ascii="Arial" w:hAnsi="Arial" w:eastAsia="Arial" w:cs="Arial"/>
          <w:b/>
          <w:bCs/>
          <w:color w:val="1B3A6B"/>
          <w:sz w:val="22"/>
          <w:szCs w:val="22"/>
        </w:rPr>
        <w:t>4.4.2  Selfie Capture &amp; Facial Matching</w:t>
      </w:r>
    </w:p>
    <w:p w14:paraId="12C30B87">
      <w:pPr>
        <w:pStyle w:val="16"/>
        <w:numPr>
          <w:ilvl w:val="0"/>
          <w:numId w:val="1"/>
        </w:numPr>
        <w:spacing w:before="40" w:after="40"/>
      </w:pPr>
      <w:r>
        <w:rPr>
          <w:rFonts w:ascii="Arial" w:hAnsi="Arial" w:eastAsia="Arial" w:cs="Arial"/>
          <w:color w:val="4A4A4A"/>
          <w:sz w:val="22"/>
          <w:szCs w:val="22"/>
        </w:rPr>
        <w:t>The system shall accept a live selfie photograph uploaded by the customer.</w:t>
      </w:r>
    </w:p>
    <w:p w14:paraId="514D3516">
      <w:pPr>
        <w:pStyle w:val="16"/>
        <w:numPr>
          <w:ilvl w:val="0"/>
          <w:numId w:val="1"/>
        </w:numPr>
        <w:spacing w:before="40" w:after="40"/>
      </w:pPr>
      <w:r>
        <w:rPr>
          <w:rFonts w:ascii="Arial" w:hAnsi="Arial" w:eastAsia="Arial" w:cs="Arial"/>
          <w:color w:val="4A4A4A"/>
          <w:sz w:val="22"/>
          <w:szCs w:val="22"/>
        </w:rPr>
        <w:t>The AI shall compare the selfie against the photograph extracted from the uploaded government ID to verify identity.</w:t>
      </w:r>
    </w:p>
    <w:p w14:paraId="08ED2965">
      <w:pPr>
        <w:spacing w:before="80" w:after="0"/>
      </w:pPr>
    </w:p>
    <w:p w14:paraId="7739FC6D">
      <w:pPr>
        <w:pStyle w:val="4"/>
        <w:spacing w:before="200" w:after="80"/>
      </w:pPr>
      <w:r>
        <w:rPr>
          <w:rFonts w:ascii="Arial" w:hAnsi="Arial" w:eastAsia="Arial" w:cs="Arial"/>
          <w:b/>
          <w:bCs/>
          <w:color w:val="1B3A6B"/>
          <w:sz w:val="22"/>
          <w:szCs w:val="22"/>
        </w:rPr>
        <w:t>4.4.3  YOLO-Based Detection</w:t>
      </w:r>
    </w:p>
    <w:p w14:paraId="4C162C54">
      <w:pPr>
        <w:pStyle w:val="16"/>
        <w:numPr>
          <w:ilvl w:val="0"/>
          <w:numId w:val="1"/>
        </w:numPr>
        <w:spacing w:before="40" w:after="40"/>
      </w:pPr>
      <w:r>
        <w:rPr>
          <w:rFonts w:ascii="Arial" w:hAnsi="Arial" w:eastAsia="Arial" w:cs="Arial"/>
          <w:color w:val="4A4A4A"/>
          <w:sz w:val="22"/>
          <w:szCs w:val="22"/>
        </w:rPr>
        <w:t>The system shall employ a YOLO (You Only Look Once) object detection model to identify and extract document regions, text zones, and facial landmarks from uploaded identity documents.</w:t>
      </w:r>
    </w:p>
    <w:p w14:paraId="4C0A5256">
      <w:pPr>
        <w:pStyle w:val="16"/>
        <w:numPr>
          <w:ilvl w:val="0"/>
          <w:numId w:val="1"/>
        </w:numPr>
        <w:spacing w:before="40" w:after="40"/>
      </w:pPr>
      <w:r>
        <w:rPr>
          <w:rFonts w:ascii="Arial" w:hAnsi="Arial" w:eastAsia="Arial" w:cs="Arial"/>
          <w:color w:val="4A4A4A"/>
          <w:sz w:val="22"/>
          <w:szCs w:val="22"/>
        </w:rPr>
        <w:t>YOLO inference shall complete in real time (target: under 3 seconds per document).</w:t>
      </w:r>
    </w:p>
    <w:p w14:paraId="2770C8C2">
      <w:pPr>
        <w:spacing w:before="80" w:after="0"/>
      </w:pPr>
    </w:p>
    <w:p w14:paraId="7005EA02">
      <w:pPr>
        <w:pStyle w:val="4"/>
        <w:spacing w:before="200" w:after="80"/>
      </w:pPr>
      <w:r>
        <w:rPr>
          <w:rFonts w:ascii="Arial" w:hAnsi="Arial" w:eastAsia="Arial" w:cs="Arial"/>
          <w:b/>
          <w:bCs/>
          <w:color w:val="1B3A6B"/>
          <w:sz w:val="22"/>
          <w:szCs w:val="22"/>
        </w:rPr>
        <w:t>4.4.4  Verification Output</w:t>
      </w:r>
    </w:p>
    <w:p w14:paraId="0D9CC6C2">
      <w:pPr>
        <w:pStyle w:val="16"/>
        <w:numPr>
          <w:ilvl w:val="0"/>
          <w:numId w:val="1"/>
        </w:numPr>
        <w:spacing w:before="40" w:after="40"/>
      </w:pPr>
      <w:r>
        <w:rPr>
          <w:rFonts w:ascii="Arial" w:hAnsi="Arial" w:eastAsia="Arial" w:cs="Arial"/>
          <w:color w:val="4A4A4A"/>
          <w:sz w:val="22"/>
          <w:szCs w:val="22"/>
        </w:rPr>
        <w:t>The system shall return a binary verification result: PASS or FAIL, accompanied by a confidence score (0–100%).</w:t>
      </w:r>
    </w:p>
    <w:p w14:paraId="78447853">
      <w:pPr>
        <w:pStyle w:val="16"/>
        <w:numPr>
          <w:ilvl w:val="0"/>
          <w:numId w:val="1"/>
        </w:numPr>
        <w:spacing w:before="40" w:after="40"/>
      </w:pPr>
      <w:r>
        <w:rPr>
          <w:rFonts w:ascii="Arial" w:hAnsi="Arial" w:eastAsia="Arial" w:cs="Arial"/>
          <w:color w:val="4A4A4A"/>
          <w:sz w:val="22"/>
          <w:szCs w:val="22"/>
        </w:rPr>
        <w:t>A PASS result confirms that the selfie matches the ID photograph and the document fields match the declared applicant data.</w:t>
      </w:r>
    </w:p>
    <w:p w14:paraId="78EE5470">
      <w:pPr>
        <w:pStyle w:val="16"/>
        <w:numPr>
          <w:ilvl w:val="0"/>
          <w:numId w:val="1"/>
        </w:numPr>
        <w:spacing w:before="40" w:after="40"/>
      </w:pPr>
      <w:r>
        <w:rPr>
          <w:rFonts w:ascii="Arial" w:hAnsi="Arial" w:eastAsia="Arial" w:cs="Arial"/>
          <w:color w:val="4A4A4A"/>
          <w:sz w:val="22"/>
          <w:szCs w:val="22"/>
        </w:rPr>
        <w:t>A FAIL result triggers a flag for manual review and prevents automated loan approval.</w:t>
      </w:r>
    </w:p>
    <w:p w14:paraId="490BD281">
      <w:pPr>
        <w:pStyle w:val="16"/>
        <w:numPr>
          <w:numId w:val="0"/>
        </w:numPr>
        <w:spacing w:before="40" w:after="40"/>
        <w:rPr>
          <w:rFonts w:ascii="Arial" w:hAnsi="Arial" w:eastAsia="Arial" w:cs="Arial"/>
          <w:color w:val="4A4A4A"/>
          <w:sz w:val="22"/>
          <w:szCs w:val="22"/>
        </w:rPr>
      </w:pPr>
    </w:p>
    <w:p w14:paraId="61CF5250">
      <w:pPr>
        <w:pStyle w:val="16"/>
        <w:numPr>
          <w:numId w:val="0"/>
        </w:numPr>
        <w:spacing w:before="40" w:after="40"/>
        <w:rPr>
          <w:rFonts w:ascii="Arial" w:hAnsi="Arial" w:eastAsia="Arial" w:cs="Arial"/>
          <w:color w:val="4A4A4A"/>
          <w:sz w:val="22"/>
          <w:szCs w:val="22"/>
        </w:rPr>
      </w:pPr>
    </w:p>
    <w:p w14:paraId="19A77FB1">
      <w:pPr>
        <w:spacing w:before="120" w:after="0"/>
      </w:pPr>
    </w:p>
    <w:p w14:paraId="494FCD36">
      <w:pPr>
        <w:pStyle w:val="3"/>
        <w:spacing w:before="280" w:after="120"/>
      </w:pPr>
      <w:r>
        <w:rPr>
          <w:rFonts w:ascii="Arial" w:hAnsi="Arial" w:eastAsia="Arial" w:cs="Arial"/>
          <w:b/>
          <w:bCs/>
          <w:color w:val="2E5FA3"/>
          <w:sz w:val="26"/>
          <w:szCs w:val="26"/>
        </w:rPr>
        <w:t>4.5  Module C — Credit Profiling Engine</w:t>
      </w:r>
    </w:p>
    <w:p w14:paraId="3B80C3BC">
      <w:pPr>
        <w:spacing w:before="60" w:after="80"/>
      </w:pPr>
      <w:r>
        <w:rPr>
          <w:rFonts w:ascii="Arial" w:hAnsi="Arial" w:eastAsia="Arial" w:cs="Arial"/>
          <w:color w:val="4A4A4A"/>
          <w:sz w:val="22"/>
          <w:szCs w:val="22"/>
        </w:rPr>
        <w:t>The Credit Profiling module is the core decisioning engine of FinGuard, providing individual-level risk assessment and loan approval outcomes.</w:t>
      </w:r>
    </w:p>
    <w:p w14:paraId="667107E5">
      <w:pPr>
        <w:spacing w:before="80" w:after="0"/>
      </w:pPr>
    </w:p>
    <w:p w14:paraId="4FEDB65A">
      <w:pPr>
        <w:pStyle w:val="4"/>
        <w:spacing w:before="200" w:after="80"/>
      </w:pPr>
      <w:r>
        <w:rPr>
          <w:rFonts w:ascii="Arial" w:hAnsi="Arial" w:eastAsia="Arial" w:cs="Arial"/>
          <w:b/>
          <w:bCs/>
          <w:color w:val="1B3A6B"/>
          <w:sz w:val="22"/>
          <w:szCs w:val="22"/>
        </w:rPr>
        <w:t>4.5.1  Input Features</w:t>
      </w:r>
    </w:p>
    <w:p w14:paraId="3F622AE8">
      <w:pPr>
        <w:pStyle w:val="16"/>
        <w:numPr>
          <w:ilvl w:val="0"/>
          <w:numId w:val="1"/>
        </w:numPr>
        <w:spacing w:before="40" w:after="40"/>
      </w:pPr>
      <w:r>
        <w:rPr>
          <w:rFonts w:ascii="Arial" w:hAnsi="Arial" w:eastAsia="Arial" w:cs="Arial"/>
          <w:color w:val="4A4A4A"/>
          <w:sz w:val="22"/>
          <w:szCs w:val="22"/>
        </w:rPr>
        <w:t>The model shall accept the following applicant attributes as input: annual income, age, employment status, loan grade, Debt-to-Income (DTI) ratio, loan purpose, and loan amount.</w:t>
      </w:r>
    </w:p>
    <w:p w14:paraId="74644A27">
      <w:pPr>
        <w:spacing w:before="80" w:after="0"/>
      </w:pPr>
    </w:p>
    <w:p w14:paraId="3B3CCD9A">
      <w:pPr>
        <w:pStyle w:val="4"/>
        <w:spacing w:before="200" w:after="80"/>
      </w:pPr>
      <w:r>
        <w:rPr>
          <w:rFonts w:ascii="Arial" w:hAnsi="Arial" w:eastAsia="Arial" w:cs="Arial"/>
          <w:b/>
          <w:bCs/>
          <w:color w:val="1B3A6B"/>
          <w:sz w:val="22"/>
          <w:szCs w:val="22"/>
        </w:rPr>
        <w:t>4.5.2  Machine Learning Model</w:t>
      </w:r>
    </w:p>
    <w:p w14:paraId="1F7FA238">
      <w:pPr>
        <w:pStyle w:val="16"/>
        <w:numPr>
          <w:ilvl w:val="0"/>
          <w:numId w:val="1"/>
        </w:numPr>
        <w:spacing w:before="40" w:after="40"/>
      </w:pPr>
      <w:r>
        <w:rPr>
          <w:rFonts w:ascii="Arial" w:hAnsi="Arial" w:eastAsia="Arial" w:cs="Arial"/>
          <w:color w:val="4A4A4A"/>
          <w:sz w:val="22"/>
          <w:szCs w:val="22"/>
        </w:rPr>
        <w:t>The system shall use a Random Forest Classifier as its primary credit scoring model, trained on historical applicant data.</w:t>
      </w:r>
    </w:p>
    <w:p w14:paraId="72F93B42">
      <w:pPr>
        <w:pStyle w:val="16"/>
        <w:numPr>
          <w:ilvl w:val="0"/>
          <w:numId w:val="1"/>
        </w:numPr>
        <w:spacing w:before="40" w:after="40"/>
      </w:pPr>
      <w:r>
        <w:rPr>
          <w:rFonts w:ascii="Arial" w:hAnsi="Arial" w:eastAsia="Arial" w:cs="Arial"/>
          <w:color w:val="4A4A4A"/>
          <w:sz w:val="22"/>
          <w:szCs w:val="22"/>
        </w:rPr>
        <w:t>The model shall achieve a minimum accuracy of 90% on the validation dataset.</w:t>
      </w:r>
    </w:p>
    <w:p w14:paraId="06B92A4C">
      <w:pPr>
        <w:pStyle w:val="16"/>
        <w:numPr>
          <w:ilvl w:val="0"/>
          <w:numId w:val="1"/>
        </w:numPr>
        <w:spacing w:before="40" w:after="40"/>
      </w:pPr>
      <w:r>
        <w:rPr>
          <w:rFonts w:ascii="Arial" w:hAnsi="Arial" w:eastAsia="Arial" w:cs="Arial"/>
          <w:color w:val="4A4A4A"/>
          <w:sz w:val="22"/>
          <w:szCs w:val="22"/>
        </w:rPr>
        <w:t>Categorical variables (e.g., loan grade, employment status) shall be pre-processed through a Label Encoder before model inference.</w:t>
      </w:r>
    </w:p>
    <w:p w14:paraId="1429FDDD">
      <w:pPr>
        <w:spacing w:before="80" w:after="0"/>
      </w:pPr>
    </w:p>
    <w:p w14:paraId="2B8500CB">
      <w:pPr>
        <w:pStyle w:val="4"/>
        <w:spacing w:before="200" w:after="80"/>
      </w:pPr>
      <w:r>
        <w:rPr>
          <w:rFonts w:ascii="Arial" w:hAnsi="Arial" w:eastAsia="Arial" w:cs="Arial"/>
          <w:b/>
          <w:bCs/>
          <w:color w:val="1B3A6B"/>
          <w:sz w:val="22"/>
          <w:szCs w:val="22"/>
        </w:rPr>
        <w:t>4.5.3  Credit Score &amp; Decision Output</w:t>
      </w:r>
    </w:p>
    <w:p w14:paraId="00B55CD0">
      <w:pPr>
        <w:pStyle w:val="16"/>
        <w:numPr>
          <w:ilvl w:val="0"/>
          <w:numId w:val="1"/>
        </w:numPr>
        <w:spacing w:before="40" w:after="40"/>
      </w:pPr>
      <w:r>
        <w:rPr>
          <w:rFonts w:ascii="Arial" w:hAnsi="Arial" w:eastAsia="Arial" w:cs="Arial"/>
          <w:color w:val="4A4A4A"/>
          <w:sz w:val="22"/>
          <w:szCs w:val="22"/>
        </w:rPr>
        <w:t>The system shall compute a dynamic credit score on a 300–900 scale based on the model's predicted default probability.</w:t>
      </w:r>
    </w:p>
    <w:p w14:paraId="12501680">
      <w:pPr>
        <w:pStyle w:val="16"/>
        <w:numPr>
          <w:ilvl w:val="0"/>
          <w:numId w:val="1"/>
        </w:numPr>
        <w:spacing w:before="40" w:after="40"/>
      </w:pPr>
      <w:r>
        <w:rPr>
          <w:rFonts w:ascii="Arial" w:hAnsi="Arial" w:eastAsia="Arial" w:cs="Arial"/>
          <w:color w:val="4A4A4A"/>
          <w:sz w:val="22"/>
          <w:szCs w:val="22"/>
        </w:rPr>
        <w:t>The score shall be visualised as a gauge meter with colour-coded risk bands (red = high risk, green = low risk).</w:t>
      </w:r>
    </w:p>
    <w:p w14:paraId="456B0B06">
      <w:pPr>
        <w:pStyle w:val="16"/>
        <w:numPr>
          <w:ilvl w:val="0"/>
          <w:numId w:val="1"/>
        </w:numPr>
        <w:spacing w:before="40" w:after="40"/>
      </w:pPr>
      <w:r>
        <w:rPr>
          <w:rFonts w:ascii="Arial" w:hAnsi="Arial" w:eastAsia="Arial" w:cs="Arial"/>
          <w:color w:val="4A4A4A"/>
          <w:sz w:val="22"/>
          <w:szCs w:val="22"/>
        </w:rPr>
        <w:t>A clear APPROVED or REJECTED banner shall be displayed with the applicant's loan amount, purpose, and DTI ratio.</w:t>
      </w:r>
    </w:p>
    <w:p w14:paraId="2335AA78">
      <w:pPr>
        <w:spacing w:before="80" w:after="0"/>
      </w:pPr>
    </w:p>
    <w:p w14:paraId="7BBD3794">
      <w:pPr>
        <w:pStyle w:val="4"/>
        <w:spacing w:before="200" w:after="80"/>
      </w:pPr>
      <w:r>
        <w:rPr>
          <w:rFonts w:ascii="Arial" w:hAnsi="Arial" w:eastAsia="Arial" w:cs="Arial"/>
          <w:b/>
          <w:bCs/>
          <w:color w:val="1B3A6B"/>
          <w:sz w:val="22"/>
          <w:szCs w:val="22"/>
        </w:rPr>
        <w:t>4.5.4  Expected Loss Breakdown</w:t>
      </w:r>
    </w:p>
    <w:p w14:paraId="0EDE639E">
      <w:pPr>
        <w:pStyle w:val="16"/>
        <w:numPr>
          <w:ilvl w:val="0"/>
          <w:numId w:val="1"/>
        </w:numPr>
        <w:spacing w:before="40" w:after="40"/>
      </w:pPr>
      <w:r>
        <w:rPr>
          <w:rFonts w:ascii="Arial" w:hAnsi="Arial" w:eastAsia="Arial" w:cs="Arial"/>
          <w:color w:val="4A4A4A"/>
          <w:sz w:val="22"/>
          <w:szCs w:val="22"/>
        </w:rPr>
        <w:t>For each applicant, the system shall display the full Expected Loss calculation showing individual PD, LGD, EAD values and the computed EL amount.</w:t>
      </w:r>
    </w:p>
    <w:p w14:paraId="08B1494F">
      <w:pPr>
        <w:pStyle w:val="16"/>
        <w:numPr>
          <w:ilvl w:val="0"/>
          <w:numId w:val="1"/>
        </w:numPr>
        <w:spacing w:before="40" w:after="40"/>
      </w:pPr>
      <w:r>
        <w:rPr>
          <w:rFonts w:ascii="Arial" w:hAnsi="Arial" w:eastAsia="Arial" w:cs="Arial"/>
          <w:color w:val="4A4A4A"/>
          <w:sz w:val="22"/>
          <w:szCs w:val="22"/>
        </w:rPr>
        <w:t>This breakdown supports underwriter review and provides full risk transparency.</w:t>
      </w:r>
    </w:p>
    <w:p w14:paraId="3662E1B8">
      <w:pPr>
        <w:spacing w:before="120" w:after="0"/>
      </w:pPr>
    </w:p>
    <w:p w14:paraId="43FD79CE">
      <w:pPr>
        <w:pStyle w:val="3"/>
        <w:spacing w:before="280" w:after="120"/>
      </w:pPr>
      <w:r>
        <w:rPr>
          <w:rFonts w:ascii="Arial" w:hAnsi="Arial" w:eastAsia="Arial" w:cs="Arial"/>
          <w:b/>
          <w:bCs/>
          <w:color w:val="2E5FA3"/>
          <w:sz w:val="26"/>
          <w:szCs w:val="26"/>
        </w:rPr>
        <w:t>4.6  Batch Scoring &amp; Portfolio Reports</w:t>
      </w:r>
    </w:p>
    <w:p w14:paraId="6517F77D">
      <w:pPr>
        <w:pStyle w:val="4"/>
        <w:spacing w:before="200" w:after="80"/>
      </w:pPr>
      <w:r>
        <w:rPr>
          <w:rFonts w:ascii="Arial" w:hAnsi="Arial" w:eastAsia="Arial" w:cs="Arial"/>
          <w:b/>
          <w:bCs/>
          <w:color w:val="1B3A6B"/>
          <w:sz w:val="22"/>
          <w:szCs w:val="22"/>
        </w:rPr>
        <w:t>4.6.1  Batch Scoring</w:t>
      </w:r>
    </w:p>
    <w:p w14:paraId="5FD8C38F">
      <w:pPr>
        <w:pStyle w:val="16"/>
        <w:numPr>
          <w:ilvl w:val="0"/>
          <w:numId w:val="1"/>
        </w:numPr>
        <w:spacing w:before="40" w:after="40"/>
      </w:pPr>
      <w:r>
        <w:rPr>
          <w:rFonts w:ascii="Arial" w:hAnsi="Arial" w:eastAsia="Arial" w:cs="Arial"/>
          <w:color w:val="4A4A4A"/>
          <w:sz w:val="22"/>
          <w:szCs w:val="22"/>
        </w:rPr>
        <w:t>The system shall allow upload of a CSV file containing multiple applicant records for bulk processing.</w:t>
      </w:r>
    </w:p>
    <w:p w14:paraId="71C8402F">
      <w:pPr>
        <w:pStyle w:val="16"/>
        <w:numPr>
          <w:ilvl w:val="0"/>
          <w:numId w:val="1"/>
        </w:numPr>
        <w:spacing w:before="40" w:after="40"/>
      </w:pPr>
      <w:r>
        <w:rPr>
          <w:rFonts w:ascii="Arial" w:hAnsi="Arial" w:eastAsia="Arial" w:cs="Arial"/>
          <w:color w:val="4A4A4A"/>
          <w:sz w:val="22"/>
          <w:szCs w:val="22"/>
        </w:rPr>
        <w:t>The model shall score each applicant in the batch and output individual credit decisions and risk classifications.</w:t>
      </w:r>
    </w:p>
    <w:p w14:paraId="05E7C193">
      <w:pPr>
        <w:pStyle w:val="16"/>
        <w:numPr>
          <w:ilvl w:val="0"/>
          <w:numId w:val="1"/>
        </w:numPr>
        <w:spacing w:before="40" w:after="40"/>
      </w:pPr>
      <w:r>
        <w:rPr>
          <w:rFonts w:ascii="Arial" w:hAnsi="Arial" w:eastAsia="Arial" w:cs="Arial"/>
          <w:color w:val="4A4A4A"/>
          <w:sz w:val="22"/>
          <w:szCs w:val="22"/>
        </w:rPr>
        <w:t>Batch results shall be downloadable as a CSV file for further analysis or regulatory submission.</w:t>
      </w:r>
    </w:p>
    <w:p w14:paraId="07619217">
      <w:pPr>
        <w:spacing w:before="80" w:after="0"/>
      </w:pPr>
    </w:p>
    <w:p w14:paraId="26F9FDA8">
      <w:pPr>
        <w:pStyle w:val="4"/>
        <w:spacing w:before="200" w:after="80"/>
      </w:pPr>
      <w:r>
        <w:rPr>
          <w:rFonts w:ascii="Arial" w:hAnsi="Arial" w:eastAsia="Arial" w:cs="Arial"/>
          <w:b/>
          <w:bCs/>
          <w:color w:val="1B3A6B"/>
          <w:sz w:val="22"/>
          <w:szCs w:val="22"/>
        </w:rPr>
        <w:t>4.6.2  Portfolio Summary</w:t>
      </w:r>
    </w:p>
    <w:p w14:paraId="1562025E">
      <w:pPr>
        <w:pStyle w:val="16"/>
        <w:numPr>
          <w:ilvl w:val="0"/>
          <w:numId w:val="1"/>
        </w:numPr>
        <w:spacing w:before="40" w:after="40"/>
      </w:pPr>
      <w:r>
        <w:rPr>
          <w:rFonts w:ascii="Arial" w:hAnsi="Arial" w:eastAsia="Arial" w:cs="Arial"/>
          <w:color w:val="4A4A4A"/>
          <w:sz w:val="22"/>
          <w:szCs w:val="22"/>
        </w:rPr>
        <w:t>The system shall display aggregate portfolio metrics: total applications, approval rate, default rate, total loan exposure, and average loan amount.</w:t>
      </w:r>
    </w:p>
    <w:p w14:paraId="3D59B5F0">
      <w:pPr>
        <w:pStyle w:val="16"/>
        <w:numPr>
          <w:ilvl w:val="0"/>
          <w:numId w:val="1"/>
        </w:numPr>
        <w:spacing w:before="40" w:after="40"/>
      </w:pPr>
      <w:r>
        <w:rPr>
          <w:rFonts w:ascii="Arial" w:hAnsi="Arial" w:eastAsia="Arial" w:cs="Arial"/>
          <w:color w:val="4A4A4A"/>
          <w:sz w:val="22"/>
          <w:szCs w:val="22"/>
        </w:rPr>
        <w:t>Reference: 50 applications, 62% approval, 38% default, total exposure ₹12.8 lakh, average loan ₹25,630.</w:t>
      </w:r>
    </w:p>
    <w:p w14:paraId="46A10642">
      <w:pPr>
        <w:spacing w:before="80" w:after="0"/>
      </w:pPr>
    </w:p>
    <w:p w14:paraId="3B4B8585">
      <w:pPr>
        <w:pStyle w:val="4"/>
        <w:spacing w:before="200" w:after="80"/>
      </w:pPr>
      <w:r>
        <w:rPr>
          <w:rFonts w:ascii="Arial" w:hAnsi="Arial" w:eastAsia="Arial" w:cs="Arial"/>
          <w:b/>
          <w:bCs/>
          <w:color w:val="1B3A6B"/>
          <w:sz w:val="22"/>
          <w:szCs w:val="22"/>
        </w:rPr>
        <w:t>4.6.3  Stress Testing</w:t>
      </w:r>
    </w:p>
    <w:p w14:paraId="067D30FF">
      <w:pPr>
        <w:pStyle w:val="16"/>
        <w:numPr>
          <w:ilvl w:val="0"/>
          <w:numId w:val="1"/>
        </w:numPr>
        <w:spacing w:before="40" w:after="40"/>
      </w:pPr>
      <w:r>
        <w:rPr>
          <w:rFonts w:ascii="Arial" w:hAnsi="Arial" w:eastAsia="Arial" w:cs="Arial"/>
          <w:color w:val="4A4A4A"/>
          <w:sz w:val="22"/>
          <w:szCs w:val="22"/>
        </w:rPr>
        <w:t>The system shall support four-level stress testing scenarios: Base Case, Mild Recession, Moderate Stress, and Severe Crisis.</w:t>
      </w:r>
    </w:p>
    <w:p w14:paraId="4BD22708">
      <w:pPr>
        <w:pStyle w:val="16"/>
        <w:numPr>
          <w:ilvl w:val="0"/>
          <w:numId w:val="1"/>
        </w:numPr>
        <w:spacing w:before="40" w:after="40"/>
      </w:pPr>
      <w:r>
        <w:rPr>
          <w:rFonts w:ascii="Arial" w:hAnsi="Arial" w:eastAsia="Arial" w:cs="Arial"/>
          <w:color w:val="4A4A4A"/>
          <w:sz w:val="22"/>
          <w:szCs w:val="22"/>
        </w:rPr>
        <w:t>For each scenario, the system shall compute the capital requirement and display the impact on portfolio default rates.</w:t>
      </w:r>
    </w:p>
    <w:p w14:paraId="0A56A4AF">
      <w:pPr>
        <w:pStyle w:val="16"/>
        <w:numPr>
          <w:ilvl w:val="0"/>
          <w:numId w:val="1"/>
        </w:numPr>
        <w:spacing w:before="40" w:after="40"/>
      </w:pPr>
      <w:r>
        <w:rPr>
          <w:rFonts w:ascii="Arial" w:hAnsi="Arial" w:eastAsia="Arial" w:cs="Arial"/>
          <w:color w:val="4A4A4A"/>
          <w:sz w:val="22"/>
          <w:szCs w:val="22"/>
        </w:rPr>
        <w:t>Reference: Severe Crisis capital requirement = ₹8.93 lakh.</w:t>
      </w:r>
    </w:p>
    <w:p w14:paraId="3A37BC54">
      <w:pPr>
        <w:spacing w:before="80" w:after="0"/>
      </w:pPr>
    </w:p>
    <w:p w14:paraId="153D18AE">
      <w:pPr>
        <w:pStyle w:val="4"/>
        <w:spacing w:before="200" w:after="80"/>
      </w:pPr>
      <w:r>
        <w:rPr>
          <w:rFonts w:ascii="Arial" w:hAnsi="Arial" w:eastAsia="Arial" w:cs="Arial"/>
          <w:b/>
          <w:bCs/>
          <w:color w:val="1B3A6B"/>
          <w:sz w:val="22"/>
          <w:szCs w:val="22"/>
        </w:rPr>
        <w:t>4.6.4  PDF Report Export</w:t>
      </w:r>
    </w:p>
    <w:p w14:paraId="0AF72938">
      <w:pPr>
        <w:pStyle w:val="16"/>
        <w:numPr>
          <w:ilvl w:val="0"/>
          <w:numId w:val="1"/>
        </w:numPr>
        <w:spacing w:before="40" w:after="40"/>
      </w:pPr>
      <w:r>
        <w:rPr>
          <w:rFonts w:ascii="Arial" w:hAnsi="Arial" w:eastAsia="Arial" w:cs="Arial"/>
          <w:color w:val="4A4A4A"/>
          <w:sz w:val="22"/>
          <w:szCs w:val="22"/>
        </w:rPr>
        <w:t>The system shall generate a full institutional-grade portfolio report as a PDF document with a single click.</w:t>
      </w:r>
    </w:p>
    <w:p w14:paraId="186B49E5">
      <w:pPr>
        <w:pStyle w:val="16"/>
        <w:numPr>
          <w:ilvl w:val="0"/>
          <w:numId w:val="1"/>
        </w:numPr>
        <w:spacing w:before="40" w:after="40"/>
      </w:pPr>
      <w:r>
        <w:rPr>
          <w:rFonts w:ascii="Arial" w:hAnsi="Arial" w:eastAsia="Arial" w:cs="Arial"/>
          <w:color w:val="4A4A4A"/>
          <w:sz w:val="22"/>
          <w:szCs w:val="22"/>
        </w:rPr>
        <w:t>The PDF shall include portfolio summary metrics, stress test results, default heatmaps, and a compliance summary for regulatory, audit, and investor use.</w:t>
      </w:r>
    </w:p>
    <w:p w14:paraId="25126108">
      <w:r>
        <w:br w:type="page"/>
      </w:r>
    </w:p>
    <w:p w14:paraId="5FCD1A0D">
      <w:pPr>
        <w:shd w:val="clear" w:fill="1B3A6B"/>
        <w:spacing w:before="300" w:after="100"/>
      </w:pPr>
      <w:r>
        <w:rPr>
          <w:rFonts w:ascii="Arial" w:hAnsi="Arial" w:eastAsia="Arial" w:cs="Arial"/>
          <w:b/>
          <w:bCs/>
          <w:color w:val="00D4FF"/>
          <w:sz w:val="28"/>
          <w:szCs w:val="28"/>
        </w:rPr>
        <w:t xml:space="preserve">  5  </w:t>
      </w:r>
      <w:r>
        <w:rPr>
          <w:rFonts w:ascii="Arial" w:hAnsi="Arial" w:eastAsia="Arial" w:cs="Arial"/>
          <w:b/>
          <w:bCs/>
          <w:color w:val="FFFFFF"/>
          <w:sz w:val="28"/>
          <w:szCs w:val="28"/>
        </w:rPr>
        <w:t>Non-Functional Requirements</w:t>
      </w:r>
    </w:p>
    <w:p w14:paraId="50FA0FAE">
      <w:pPr>
        <w:spacing w:before="100" w:after="0"/>
      </w:pPr>
    </w:p>
    <w:p w14:paraId="085353FD">
      <w:pPr>
        <w:pStyle w:val="3"/>
        <w:spacing w:before="280" w:after="120"/>
      </w:pPr>
      <w:r>
        <w:rPr>
          <w:rFonts w:ascii="Arial" w:hAnsi="Arial" w:eastAsia="Arial" w:cs="Arial"/>
          <w:b/>
          <w:bCs/>
          <w:color w:val="2E5FA3"/>
          <w:sz w:val="26"/>
          <w:szCs w:val="26"/>
        </w:rPr>
        <w:t>5.1  Performance Requirements</w:t>
      </w:r>
    </w:p>
    <w:p w14:paraId="73EEFA2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9C0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9C213D8">
            <w:pPr>
              <w:jc w:val="center"/>
            </w:pPr>
            <w:r>
              <w:rPr>
                <w:rFonts w:ascii="Arial" w:hAnsi="Arial" w:eastAsia="Arial" w:cs="Arial"/>
                <w:b/>
                <w:bCs/>
                <w:color w:val="FFFFFF"/>
                <w:sz w:val="20"/>
                <w:szCs w:val="20"/>
              </w:rPr>
              <w:t>Requirement</w:t>
            </w:r>
          </w:p>
        </w:tc>
        <w:tc>
          <w:tcPr>
            <w:tcW w:w="312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BB8EA24">
            <w:pPr>
              <w:jc w:val="center"/>
            </w:pPr>
            <w:r>
              <w:rPr>
                <w:rFonts w:ascii="Arial" w:hAnsi="Arial" w:eastAsia="Arial" w:cs="Arial"/>
                <w:b/>
                <w:bCs/>
                <w:color w:val="FFFFFF"/>
                <w:sz w:val="20"/>
                <w:szCs w:val="20"/>
              </w:rPr>
              <w:t>Target Specification</w:t>
            </w:r>
          </w:p>
        </w:tc>
        <w:tc>
          <w:tcPr>
            <w:tcW w:w="312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388791CC">
            <w:pPr>
              <w:jc w:val="center"/>
            </w:pPr>
            <w:r>
              <w:rPr>
                <w:rFonts w:ascii="Arial" w:hAnsi="Arial" w:eastAsia="Arial" w:cs="Arial"/>
                <w:b/>
                <w:bCs/>
                <w:color w:val="FFFFFF"/>
                <w:sz w:val="20"/>
                <w:szCs w:val="20"/>
              </w:rPr>
              <w:t>Priority</w:t>
            </w:r>
          </w:p>
        </w:tc>
      </w:tr>
      <w:tr w14:paraId="4D30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92E9143">
            <w:r>
              <w:rPr>
                <w:rFonts w:ascii="Arial" w:hAnsi="Arial" w:eastAsia="Arial" w:cs="Arial"/>
                <w:color w:val="4A4A4A"/>
                <w:sz w:val="20"/>
                <w:szCs w:val="20"/>
              </w:rPr>
              <w:t>Individual credit scoring</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E4D32F9">
            <w:r>
              <w:rPr>
                <w:rFonts w:ascii="Arial" w:hAnsi="Arial" w:eastAsia="Arial" w:cs="Arial"/>
                <w:color w:val="4A4A4A"/>
                <w:sz w:val="20"/>
                <w:szCs w:val="20"/>
              </w:rPr>
              <w:t>Response time &lt; 2 seconds</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D796DDE">
            <w:r>
              <w:rPr>
                <w:rFonts w:ascii="Arial" w:hAnsi="Arial" w:eastAsia="Arial" w:cs="Arial"/>
                <w:color w:val="4A4A4A"/>
                <w:sz w:val="20"/>
                <w:szCs w:val="20"/>
              </w:rPr>
              <w:t>Critical</w:t>
            </w:r>
          </w:p>
        </w:tc>
      </w:tr>
      <w:tr w14:paraId="1BEB9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2913ECE">
            <w:r>
              <w:rPr>
                <w:rFonts w:ascii="Arial" w:hAnsi="Arial" w:eastAsia="Arial" w:cs="Arial"/>
                <w:color w:val="4A4A4A"/>
                <w:sz w:val="20"/>
                <w:szCs w:val="20"/>
              </w:rPr>
              <w:t>KYC YOLO inference</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4912392">
            <w:r>
              <w:rPr>
                <w:rFonts w:ascii="Arial" w:hAnsi="Arial" w:eastAsia="Arial" w:cs="Arial"/>
                <w:color w:val="4A4A4A"/>
                <w:sz w:val="20"/>
                <w:szCs w:val="20"/>
              </w:rPr>
              <w:t>Response time &lt; 3 seconds per document</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3DC1D3C">
            <w:r>
              <w:rPr>
                <w:rFonts w:ascii="Arial" w:hAnsi="Arial" w:eastAsia="Arial" w:cs="Arial"/>
                <w:color w:val="4A4A4A"/>
                <w:sz w:val="20"/>
                <w:szCs w:val="20"/>
              </w:rPr>
              <w:t>Critical</w:t>
            </w:r>
          </w:p>
        </w:tc>
      </w:tr>
      <w:tr w14:paraId="7507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60AE03E">
            <w:r>
              <w:rPr>
                <w:rFonts w:ascii="Arial" w:hAnsi="Arial" w:eastAsia="Arial" w:cs="Arial"/>
                <w:color w:val="4A4A4A"/>
                <w:sz w:val="20"/>
                <w:szCs w:val="20"/>
              </w:rPr>
              <w:t>Batch scoring (50 records)</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1FDBC19">
            <w:r>
              <w:rPr>
                <w:rFonts w:ascii="Arial" w:hAnsi="Arial" w:eastAsia="Arial" w:cs="Arial"/>
                <w:color w:val="4A4A4A"/>
                <w:sz w:val="20"/>
                <w:szCs w:val="20"/>
              </w:rPr>
              <w:t>Completion time &lt; 30 seconds</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0E2AC69">
            <w:r>
              <w:rPr>
                <w:rFonts w:ascii="Arial" w:hAnsi="Arial" w:eastAsia="Arial" w:cs="Arial"/>
                <w:color w:val="4A4A4A"/>
                <w:sz w:val="20"/>
                <w:szCs w:val="20"/>
              </w:rPr>
              <w:t>High</w:t>
            </w:r>
          </w:p>
        </w:tc>
      </w:tr>
      <w:tr w14:paraId="4545B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DC6A899">
            <w:r>
              <w:rPr>
                <w:rFonts w:ascii="Arial" w:hAnsi="Arial" w:eastAsia="Arial" w:cs="Arial"/>
                <w:color w:val="4A4A4A"/>
                <w:sz w:val="20"/>
                <w:szCs w:val="20"/>
              </w:rPr>
              <w:t>Dashboard page load</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6F242B3">
            <w:r>
              <w:rPr>
                <w:rFonts w:ascii="Arial" w:hAnsi="Arial" w:eastAsia="Arial" w:cs="Arial"/>
                <w:color w:val="4A4A4A"/>
                <w:sz w:val="20"/>
                <w:szCs w:val="20"/>
              </w:rPr>
              <w:t>Initial load time &lt; 5 seconds</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F741127">
            <w:r>
              <w:rPr>
                <w:rFonts w:ascii="Arial" w:hAnsi="Arial" w:eastAsia="Arial" w:cs="Arial"/>
                <w:color w:val="4A4A4A"/>
                <w:sz w:val="20"/>
                <w:szCs w:val="20"/>
              </w:rPr>
              <w:t>High</w:t>
            </w:r>
          </w:p>
        </w:tc>
      </w:tr>
      <w:tr w14:paraId="2B0D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FED746F">
            <w:r>
              <w:rPr>
                <w:rFonts w:ascii="Arial" w:hAnsi="Arial" w:eastAsia="Arial" w:cs="Arial"/>
                <w:color w:val="4A4A4A"/>
                <w:sz w:val="20"/>
                <w:szCs w:val="20"/>
              </w:rPr>
              <w:t>PDF report generation</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127F62E">
            <w:r>
              <w:rPr>
                <w:rFonts w:ascii="Arial" w:hAnsi="Arial" w:eastAsia="Arial" w:cs="Arial"/>
                <w:color w:val="4A4A4A"/>
                <w:sz w:val="20"/>
                <w:szCs w:val="20"/>
              </w:rPr>
              <w:t>Completion time &lt; 10 seconds</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B738191">
            <w:r>
              <w:rPr>
                <w:rFonts w:ascii="Arial" w:hAnsi="Arial" w:eastAsia="Arial" w:cs="Arial"/>
                <w:color w:val="4A4A4A"/>
                <w:sz w:val="20"/>
                <w:szCs w:val="20"/>
              </w:rPr>
              <w:t>Medium</w:t>
            </w:r>
          </w:p>
        </w:tc>
      </w:tr>
      <w:tr w14:paraId="4778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39520DB">
            <w:r>
              <w:rPr>
                <w:rFonts w:ascii="Arial" w:hAnsi="Arial" w:eastAsia="Arial" w:cs="Arial"/>
                <w:color w:val="4A4A4A"/>
                <w:sz w:val="20"/>
                <w:szCs w:val="20"/>
              </w:rPr>
              <w:t>VaR/CVaR computation</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04BD222">
            <w:r>
              <w:rPr>
                <w:rFonts w:ascii="Arial" w:hAnsi="Arial" w:eastAsia="Arial" w:cs="Arial"/>
                <w:color w:val="4A4A4A"/>
                <w:sz w:val="20"/>
                <w:szCs w:val="20"/>
              </w:rPr>
              <w:t>Response time &lt; 5 seconds for portfolio of 50</w:t>
            </w:r>
          </w:p>
        </w:tc>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6DDC346">
            <w:r>
              <w:rPr>
                <w:rFonts w:ascii="Arial" w:hAnsi="Arial" w:eastAsia="Arial" w:cs="Arial"/>
                <w:color w:val="4A4A4A"/>
                <w:sz w:val="20"/>
                <w:szCs w:val="20"/>
              </w:rPr>
              <w:t>High</w:t>
            </w:r>
          </w:p>
        </w:tc>
      </w:tr>
      <w:tr w14:paraId="4069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79AA69B">
            <w:r>
              <w:rPr>
                <w:rFonts w:ascii="Arial" w:hAnsi="Arial" w:eastAsia="Arial" w:cs="Arial"/>
                <w:color w:val="4A4A4A"/>
                <w:sz w:val="20"/>
                <w:szCs w:val="20"/>
              </w:rPr>
              <w:t>Concurrent users (Phase 1)</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6057494">
            <w:r>
              <w:rPr>
                <w:rFonts w:ascii="Arial" w:hAnsi="Arial" w:eastAsia="Arial" w:cs="Arial"/>
                <w:color w:val="4A4A4A"/>
                <w:sz w:val="20"/>
                <w:szCs w:val="20"/>
              </w:rPr>
              <w:t>Minimum 10 simultaneous users</w:t>
            </w:r>
          </w:p>
        </w:tc>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3B4460E">
            <w:r>
              <w:rPr>
                <w:rFonts w:ascii="Arial" w:hAnsi="Arial" w:eastAsia="Arial" w:cs="Arial"/>
                <w:color w:val="4A4A4A"/>
                <w:sz w:val="20"/>
                <w:szCs w:val="20"/>
              </w:rPr>
              <w:t>Medium</w:t>
            </w:r>
          </w:p>
        </w:tc>
      </w:tr>
    </w:tbl>
    <w:p w14:paraId="1799354B">
      <w:pPr>
        <w:spacing w:before="120" w:after="0"/>
      </w:pPr>
    </w:p>
    <w:p w14:paraId="0F328528">
      <w:pPr>
        <w:pStyle w:val="3"/>
        <w:spacing w:before="280" w:after="120"/>
      </w:pPr>
      <w:r>
        <w:rPr>
          <w:rFonts w:ascii="Arial" w:hAnsi="Arial" w:eastAsia="Arial" w:cs="Arial"/>
          <w:b/>
          <w:bCs/>
          <w:color w:val="2E5FA3"/>
          <w:sz w:val="26"/>
          <w:szCs w:val="26"/>
        </w:rPr>
        <w:t>5.2  Security Requirements</w:t>
      </w:r>
    </w:p>
    <w:p w14:paraId="230BF48D">
      <w:pPr>
        <w:pStyle w:val="16"/>
        <w:numPr>
          <w:ilvl w:val="0"/>
          <w:numId w:val="1"/>
        </w:numPr>
        <w:spacing w:before="40" w:after="40"/>
      </w:pPr>
      <w:r>
        <w:rPr>
          <w:rFonts w:ascii="Arial" w:hAnsi="Arial" w:eastAsia="Arial" w:cs="Arial"/>
          <w:color w:val="4A4A4A"/>
          <w:sz w:val="22"/>
          <w:szCs w:val="22"/>
        </w:rPr>
        <w:t>All applicant personal data (income, age, identity documents) shall be handled in compliance with applicable data protection regulations.</w:t>
      </w:r>
    </w:p>
    <w:p w14:paraId="2E52436F">
      <w:pPr>
        <w:pStyle w:val="16"/>
        <w:numPr>
          <w:ilvl w:val="0"/>
          <w:numId w:val="1"/>
        </w:numPr>
        <w:spacing w:before="40" w:after="40"/>
      </w:pPr>
      <w:r>
        <w:rPr>
          <w:rFonts w:ascii="Arial" w:hAnsi="Arial" w:eastAsia="Arial" w:cs="Arial"/>
          <w:color w:val="4A4A4A"/>
          <w:sz w:val="22"/>
          <w:szCs w:val="22"/>
        </w:rPr>
        <w:t>Identity documents and selfie images uploaded for KYC verification shall not be stored persistently beyond the active session without explicit user consent.</w:t>
      </w:r>
    </w:p>
    <w:p w14:paraId="31D12E4B">
      <w:pPr>
        <w:pStyle w:val="16"/>
        <w:numPr>
          <w:ilvl w:val="0"/>
          <w:numId w:val="1"/>
        </w:numPr>
        <w:spacing w:before="40" w:after="40"/>
      </w:pPr>
      <w:r>
        <w:rPr>
          <w:rFonts w:ascii="Arial" w:hAnsi="Arial" w:eastAsia="Arial" w:cs="Arial"/>
          <w:color w:val="4A4A4A"/>
          <w:sz w:val="22"/>
          <w:szCs w:val="22"/>
        </w:rPr>
        <w:t>The platform shall implement role-based access controls to restrict sensitive risk and compliance outputs to authorised personnel only.</w:t>
      </w:r>
    </w:p>
    <w:p w14:paraId="1F5E362D">
      <w:pPr>
        <w:pStyle w:val="16"/>
        <w:numPr>
          <w:ilvl w:val="0"/>
          <w:numId w:val="1"/>
        </w:numPr>
        <w:spacing w:before="40" w:after="40"/>
      </w:pPr>
      <w:r>
        <w:rPr>
          <w:rFonts w:ascii="Arial" w:hAnsi="Arial" w:eastAsia="Arial" w:cs="Arial"/>
          <w:color w:val="4A4A4A"/>
          <w:sz w:val="22"/>
          <w:szCs w:val="22"/>
        </w:rPr>
        <w:t>All network communication between the frontend, backend, and ML inference layers shall be encrypted using TLS 1.2 or higher.</w:t>
      </w:r>
    </w:p>
    <w:p w14:paraId="208A7952">
      <w:pPr>
        <w:spacing w:before="120" w:after="0"/>
      </w:pPr>
    </w:p>
    <w:p w14:paraId="6FABF511">
      <w:pPr>
        <w:pStyle w:val="3"/>
        <w:spacing w:before="280" w:after="120"/>
      </w:pPr>
      <w:r>
        <w:rPr>
          <w:rFonts w:ascii="Arial" w:hAnsi="Arial" w:eastAsia="Arial" w:cs="Arial"/>
          <w:b/>
          <w:bCs/>
          <w:color w:val="2E5FA3"/>
          <w:sz w:val="26"/>
          <w:szCs w:val="26"/>
        </w:rPr>
        <w:t>5.3  Reliability &amp; Availability</w:t>
      </w:r>
    </w:p>
    <w:p w14:paraId="2645C6E9">
      <w:pPr>
        <w:pStyle w:val="16"/>
        <w:numPr>
          <w:ilvl w:val="0"/>
          <w:numId w:val="1"/>
        </w:numPr>
        <w:spacing w:before="40" w:after="40"/>
      </w:pPr>
      <w:r>
        <w:rPr>
          <w:rFonts w:ascii="Arial" w:hAnsi="Arial" w:eastAsia="Arial" w:cs="Arial"/>
          <w:color w:val="4A4A4A"/>
          <w:sz w:val="22"/>
          <w:szCs w:val="22"/>
        </w:rPr>
        <w:t>The platform shall target a minimum uptime of 99.5% during business hours (09:00–21:00 IST, Monday to Saturday).</w:t>
      </w:r>
    </w:p>
    <w:p w14:paraId="6AF4D0D0">
      <w:pPr>
        <w:pStyle w:val="16"/>
        <w:numPr>
          <w:ilvl w:val="0"/>
          <w:numId w:val="1"/>
        </w:numPr>
        <w:spacing w:before="40" w:after="40"/>
      </w:pPr>
      <w:r>
        <w:rPr>
          <w:rFonts w:ascii="Arial" w:hAnsi="Arial" w:eastAsia="Arial" w:cs="Arial"/>
          <w:color w:val="4A4A4A"/>
          <w:sz w:val="22"/>
          <w:szCs w:val="22"/>
        </w:rPr>
        <w:t>The machine learning model shall be versioned and rollback-capable within 15 minutes if a model update degrades accuracy below 85%.</w:t>
      </w:r>
    </w:p>
    <w:p w14:paraId="10C9FC27">
      <w:pPr>
        <w:pStyle w:val="16"/>
        <w:numPr>
          <w:ilvl w:val="0"/>
          <w:numId w:val="1"/>
        </w:numPr>
        <w:spacing w:before="40" w:after="40"/>
      </w:pPr>
      <w:r>
        <w:rPr>
          <w:rFonts w:ascii="Arial" w:hAnsi="Arial" w:eastAsia="Arial" w:cs="Arial"/>
          <w:color w:val="4A4A4A"/>
          <w:sz w:val="22"/>
          <w:szCs w:val="22"/>
        </w:rPr>
        <w:t>All critical errors shall be logged with timestamps, module identifiers, and stack traces for debugging and audit purposes.</w:t>
      </w:r>
    </w:p>
    <w:p w14:paraId="1B20464F">
      <w:pPr>
        <w:spacing w:before="120" w:after="0"/>
      </w:pPr>
    </w:p>
    <w:p w14:paraId="76A8D77D">
      <w:pPr>
        <w:pStyle w:val="3"/>
        <w:spacing w:before="280" w:after="120"/>
      </w:pPr>
      <w:r>
        <w:rPr>
          <w:rFonts w:ascii="Arial" w:hAnsi="Arial" w:eastAsia="Arial" w:cs="Arial"/>
          <w:b/>
          <w:bCs/>
          <w:color w:val="2E5FA3"/>
          <w:sz w:val="26"/>
          <w:szCs w:val="26"/>
        </w:rPr>
        <w:t>5.4  Usability Requirements</w:t>
      </w:r>
    </w:p>
    <w:p w14:paraId="314C3E7C">
      <w:pPr>
        <w:pStyle w:val="16"/>
        <w:numPr>
          <w:ilvl w:val="0"/>
          <w:numId w:val="1"/>
        </w:numPr>
        <w:spacing w:before="40" w:after="40"/>
      </w:pPr>
      <w:r>
        <w:rPr>
          <w:rFonts w:ascii="Arial" w:hAnsi="Arial" w:eastAsia="Arial" w:cs="Arial"/>
          <w:color w:val="4A4A4A"/>
          <w:sz w:val="22"/>
          <w:szCs w:val="22"/>
        </w:rPr>
        <w:t>The platform shall be accessible via a standard web browser without requiring any local software installation by end users.</w:t>
      </w:r>
    </w:p>
    <w:p w14:paraId="3C70EFA4">
      <w:pPr>
        <w:pStyle w:val="16"/>
        <w:numPr>
          <w:ilvl w:val="0"/>
          <w:numId w:val="1"/>
        </w:numPr>
        <w:spacing w:before="40" w:after="40"/>
      </w:pPr>
      <w:r>
        <w:rPr>
          <w:rFonts w:ascii="Arial" w:hAnsi="Arial" w:eastAsia="Arial" w:cs="Arial"/>
          <w:color w:val="4A4A4A"/>
          <w:sz w:val="22"/>
          <w:szCs w:val="22"/>
        </w:rPr>
        <w:t>The sidebar navigation shall allow any module to be reached within 1 click from any other module.</w:t>
      </w:r>
    </w:p>
    <w:p w14:paraId="31C6B510">
      <w:pPr>
        <w:pStyle w:val="16"/>
        <w:numPr>
          <w:ilvl w:val="0"/>
          <w:numId w:val="1"/>
        </w:numPr>
        <w:spacing w:before="40" w:after="40"/>
      </w:pPr>
      <w:r>
        <w:rPr>
          <w:rFonts w:ascii="Arial" w:hAnsi="Arial" w:eastAsia="Arial" w:cs="Arial"/>
          <w:color w:val="4A4A4A"/>
          <w:sz w:val="22"/>
          <w:szCs w:val="22"/>
        </w:rPr>
        <w:t>All charts and visualisations shall use colour schemes that meet WCAG 2.1 AA contrast ratio standards.</w:t>
      </w:r>
    </w:p>
    <w:p w14:paraId="47C45F68">
      <w:pPr>
        <w:pStyle w:val="16"/>
        <w:numPr>
          <w:ilvl w:val="0"/>
          <w:numId w:val="1"/>
        </w:numPr>
        <w:spacing w:before="40" w:after="40"/>
      </w:pPr>
      <w:r>
        <w:rPr>
          <w:rFonts w:ascii="Arial" w:hAnsi="Arial" w:eastAsia="Arial" w:cs="Arial"/>
          <w:color w:val="4A4A4A"/>
          <w:sz w:val="22"/>
          <w:szCs w:val="22"/>
        </w:rPr>
        <w:t>The interface shall be fully functional on standard desktop resolutions (minimum 1280 × 720 pixels).</w:t>
      </w:r>
    </w:p>
    <w:p w14:paraId="6885AD9C">
      <w:pPr>
        <w:spacing w:before="120" w:after="0"/>
      </w:pPr>
    </w:p>
    <w:p w14:paraId="601D202D">
      <w:pPr>
        <w:pStyle w:val="3"/>
        <w:spacing w:before="280" w:after="120"/>
      </w:pPr>
      <w:r>
        <w:rPr>
          <w:rFonts w:ascii="Arial" w:hAnsi="Arial" w:eastAsia="Arial" w:cs="Arial"/>
          <w:b/>
          <w:bCs/>
          <w:color w:val="2E5FA3"/>
          <w:sz w:val="26"/>
          <w:szCs w:val="26"/>
        </w:rPr>
        <w:t>5.5  Scalability Requirements</w:t>
      </w:r>
    </w:p>
    <w:p w14:paraId="0B5CE5D5">
      <w:pPr>
        <w:pStyle w:val="16"/>
        <w:numPr>
          <w:ilvl w:val="0"/>
          <w:numId w:val="1"/>
        </w:numPr>
        <w:spacing w:before="40" w:after="40"/>
      </w:pPr>
      <w:r>
        <w:rPr>
          <w:rFonts w:ascii="Arial" w:hAnsi="Arial" w:eastAsia="Arial" w:cs="Arial"/>
          <w:color w:val="4A4A4A"/>
          <w:sz w:val="22"/>
          <w:szCs w:val="22"/>
        </w:rPr>
        <w:t>The batch scoring pipeline shall be architecturally capable of processing up to 10,000 records per batch with appropriate hardware scaling.</w:t>
      </w:r>
    </w:p>
    <w:p w14:paraId="76EC09C0">
      <w:pPr>
        <w:pStyle w:val="16"/>
        <w:numPr>
          <w:ilvl w:val="0"/>
          <w:numId w:val="1"/>
        </w:numPr>
        <w:spacing w:before="40" w:after="40"/>
      </w:pPr>
      <w:r>
        <w:rPr>
          <w:rFonts w:ascii="Arial" w:hAnsi="Arial" w:eastAsia="Arial" w:cs="Arial"/>
          <w:color w:val="4A4A4A"/>
          <w:sz w:val="22"/>
          <w:szCs w:val="22"/>
        </w:rPr>
        <w:t>The ML model training pipeline shall support retraining on new datasets without requiring changes to the application code.</w:t>
      </w:r>
    </w:p>
    <w:p w14:paraId="344A20E0">
      <w:pPr>
        <w:pStyle w:val="16"/>
        <w:numPr>
          <w:ilvl w:val="0"/>
          <w:numId w:val="1"/>
        </w:numPr>
        <w:spacing w:before="40" w:after="40"/>
      </w:pPr>
      <w:r>
        <w:rPr>
          <w:rFonts w:ascii="Arial" w:hAnsi="Arial" w:eastAsia="Arial" w:cs="Arial"/>
          <w:color w:val="4A4A4A"/>
          <w:sz w:val="22"/>
          <w:szCs w:val="22"/>
        </w:rPr>
        <w:t>The modular architecture shall allow individual components (fraud detection, KYC, risk analytics) to be upgraded or replaced independently.</w:t>
      </w:r>
    </w:p>
    <w:p w14:paraId="70F694CE">
      <w:r>
        <w:br w:type="page"/>
      </w:r>
    </w:p>
    <w:p w14:paraId="56A5B9F4">
      <w:pPr>
        <w:shd w:val="clear" w:fill="1B3A6B"/>
        <w:spacing w:before="300" w:after="100"/>
      </w:pPr>
      <w:r>
        <w:rPr>
          <w:rFonts w:ascii="Arial" w:hAnsi="Arial" w:eastAsia="Arial" w:cs="Arial"/>
          <w:b/>
          <w:bCs/>
          <w:color w:val="00D4FF"/>
          <w:sz w:val="28"/>
          <w:szCs w:val="28"/>
        </w:rPr>
        <w:t xml:space="preserve">  6  </w:t>
      </w:r>
      <w:r>
        <w:rPr>
          <w:rFonts w:ascii="Arial" w:hAnsi="Arial" w:eastAsia="Arial" w:cs="Arial"/>
          <w:b/>
          <w:bCs/>
          <w:color w:val="FFFFFF"/>
          <w:sz w:val="28"/>
          <w:szCs w:val="28"/>
        </w:rPr>
        <w:t>Technical Architecture &amp; Stack</w:t>
      </w:r>
    </w:p>
    <w:p w14:paraId="242D7E27">
      <w:pPr>
        <w:spacing w:before="100" w:after="0"/>
      </w:pPr>
    </w:p>
    <w:p w14:paraId="4D40C45D">
      <w:pPr>
        <w:pStyle w:val="3"/>
        <w:spacing w:before="280" w:after="120"/>
      </w:pPr>
      <w:r>
        <w:rPr>
          <w:rFonts w:ascii="Arial" w:hAnsi="Arial" w:eastAsia="Arial" w:cs="Arial"/>
          <w:b/>
          <w:bCs/>
          <w:color w:val="2E5FA3"/>
          <w:sz w:val="26"/>
          <w:szCs w:val="26"/>
        </w:rPr>
        <w:t>6.1  Technology Stack</w:t>
      </w:r>
    </w:p>
    <w:p w14:paraId="7BEBC75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6DCD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4508819">
            <w:pPr>
              <w:jc w:val="center"/>
            </w:pPr>
            <w:r>
              <w:rPr>
                <w:rFonts w:ascii="Arial" w:hAnsi="Arial" w:eastAsia="Arial" w:cs="Arial"/>
                <w:b/>
                <w:bCs/>
                <w:color w:val="FFFFFF"/>
                <w:sz w:val="20"/>
                <w:szCs w:val="20"/>
              </w:rPr>
              <w:t>Layer</w:t>
            </w:r>
          </w:p>
        </w:tc>
        <w:tc>
          <w:tcPr>
            <w:tcW w:w="23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F93D9AB">
            <w:pPr>
              <w:jc w:val="center"/>
            </w:pPr>
            <w:r>
              <w:rPr>
                <w:rFonts w:ascii="Arial" w:hAnsi="Arial" w:eastAsia="Arial" w:cs="Arial"/>
                <w:b/>
                <w:bCs/>
                <w:color w:val="FFFFFF"/>
                <w:sz w:val="20"/>
                <w:szCs w:val="20"/>
              </w:rPr>
              <w:t>Technology</w:t>
            </w:r>
          </w:p>
        </w:tc>
        <w:tc>
          <w:tcPr>
            <w:tcW w:w="468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08DC149C">
            <w:pPr>
              <w:jc w:val="center"/>
            </w:pPr>
            <w:r>
              <w:rPr>
                <w:rFonts w:ascii="Arial" w:hAnsi="Arial" w:eastAsia="Arial" w:cs="Arial"/>
                <w:b/>
                <w:bCs/>
                <w:color w:val="FFFFFF"/>
                <w:sz w:val="20"/>
                <w:szCs w:val="20"/>
              </w:rPr>
              <w:t>Purpose</w:t>
            </w:r>
          </w:p>
        </w:tc>
      </w:tr>
      <w:tr w14:paraId="5228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1A6BABB6">
            <w:r>
              <w:rPr>
                <w:rFonts w:ascii="Arial" w:hAnsi="Arial" w:eastAsia="Arial" w:cs="Arial"/>
                <w:color w:val="4A4A4A"/>
                <w:sz w:val="20"/>
                <w:szCs w:val="20"/>
              </w:rPr>
              <w:t>Frontend / UI</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CDFF6C3">
            <w:r>
              <w:rPr>
                <w:rFonts w:ascii="Arial" w:hAnsi="Arial" w:eastAsia="Arial" w:cs="Arial"/>
                <w:color w:val="4A4A4A"/>
                <w:sz w:val="20"/>
                <w:szCs w:val="20"/>
              </w:rPr>
              <w:t>Streamlit</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21B5EDD">
            <w:r>
              <w:rPr>
                <w:rFonts w:ascii="Arial" w:hAnsi="Arial" w:eastAsia="Arial" w:cs="Arial"/>
                <w:color w:val="4A4A4A"/>
                <w:sz w:val="20"/>
                <w:szCs w:val="20"/>
              </w:rPr>
              <w:t>Multi-page web application framework with custom CSS theming</w:t>
            </w:r>
          </w:p>
        </w:tc>
      </w:tr>
      <w:tr w14:paraId="1F6D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92C8A8D">
            <w:r>
              <w:rPr>
                <w:rFonts w:ascii="Arial" w:hAnsi="Arial" w:eastAsia="Arial" w:cs="Arial"/>
                <w:color w:val="4A4A4A"/>
                <w:sz w:val="20"/>
                <w:szCs w:val="20"/>
              </w:rPr>
              <w:t>Data Processing</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8EDAE03">
            <w:r>
              <w:rPr>
                <w:rFonts w:ascii="Arial" w:hAnsi="Arial" w:eastAsia="Arial" w:cs="Arial"/>
                <w:color w:val="4A4A4A"/>
                <w:sz w:val="20"/>
                <w:szCs w:val="20"/>
              </w:rPr>
              <w:t>Pandas, NumPy</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A73FD66">
            <w:r>
              <w:rPr>
                <w:rFonts w:ascii="Arial" w:hAnsi="Arial" w:eastAsia="Arial" w:cs="Arial"/>
                <w:color w:val="4A4A4A"/>
                <w:sz w:val="20"/>
                <w:szCs w:val="20"/>
              </w:rPr>
              <w:t>Dataset ingestion, feature engineering, statistical computation</w:t>
            </w:r>
          </w:p>
        </w:tc>
      </w:tr>
      <w:tr w14:paraId="7BD3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E08BA41">
            <w:r>
              <w:rPr>
                <w:rFonts w:ascii="Arial" w:hAnsi="Arial" w:eastAsia="Arial" w:cs="Arial"/>
                <w:color w:val="4A4A4A"/>
                <w:sz w:val="20"/>
                <w:szCs w:val="20"/>
              </w:rPr>
              <w:t>ML / Credit Model</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01727F9">
            <w:r>
              <w:rPr>
                <w:rFonts w:ascii="Arial" w:hAnsi="Arial" w:eastAsia="Arial" w:cs="Arial"/>
                <w:color w:val="4A4A4A"/>
                <w:sz w:val="20"/>
                <w:szCs w:val="20"/>
              </w:rPr>
              <w:t>Scikit-learn (Random Forest)</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8D6028C">
            <w:r>
              <w:rPr>
                <w:rFonts w:ascii="Arial" w:hAnsi="Arial" w:eastAsia="Arial" w:cs="Arial"/>
                <w:color w:val="4A4A4A"/>
                <w:sz w:val="20"/>
                <w:szCs w:val="20"/>
              </w:rPr>
              <w:t>Credit default prediction with Label Encoder preprocessing</w:t>
            </w:r>
          </w:p>
        </w:tc>
      </w:tr>
      <w:tr w14:paraId="145B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62B4AA4">
            <w:r>
              <w:rPr>
                <w:rFonts w:ascii="Arial" w:hAnsi="Arial" w:eastAsia="Arial" w:cs="Arial"/>
                <w:color w:val="4A4A4A"/>
                <w:sz w:val="20"/>
                <w:szCs w:val="20"/>
              </w:rPr>
              <w:t>Fraud Detection</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793062E">
            <w:r>
              <w:rPr>
                <w:rFonts w:ascii="Arial" w:hAnsi="Arial" w:eastAsia="Arial" w:cs="Arial"/>
                <w:color w:val="4A4A4A"/>
                <w:sz w:val="20"/>
                <w:szCs w:val="20"/>
              </w:rPr>
              <w:t>Scikit-learn (Isolation Forest, K-Means)</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6C2390D">
            <w:r>
              <w:rPr>
                <w:rFonts w:ascii="Arial" w:hAnsi="Arial" w:eastAsia="Arial" w:cs="Arial"/>
                <w:color w:val="4A4A4A"/>
                <w:sz w:val="20"/>
                <w:szCs w:val="20"/>
              </w:rPr>
              <w:t>Anomaly detection and customer segmentation</w:t>
            </w:r>
          </w:p>
        </w:tc>
      </w:tr>
      <w:tr w14:paraId="409B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920DDEB">
            <w:r>
              <w:rPr>
                <w:rFonts w:ascii="Arial" w:hAnsi="Arial" w:eastAsia="Arial" w:cs="Arial"/>
                <w:color w:val="4A4A4A"/>
                <w:sz w:val="20"/>
                <w:szCs w:val="20"/>
              </w:rPr>
              <w:t>Computer Vision / KYC</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7905435">
            <w:r>
              <w:rPr>
                <w:rFonts w:ascii="Arial" w:hAnsi="Arial" w:eastAsia="Arial" w:cs="Arial"/>
                <w:color w:val="4A4A4A"/>
                <w:sz w:val="20"/>
                <w:szCs w:val="20"/>
              </w:rPr>
              <w:t>YOLO (Ultralytics), PIL/Pillow</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37C56C6">
            <w:r>
              <w:rPr>
                <w:rFonts w:ascii="Arial" w:hAnsi="Arial" w:eastAsia="Arial" w:cs="Arial"/>
                <w:color w:val="4A4A4A"/>
                <w:sz w:val="20"/>
                <w:szCs w:val="20"/>
              </w:rPr>
              <w:t>Document region detection, facial landmark extraction, selfie matching</w:t>
            </w:r>
          </w:p>
        </w:tc>
      </w:tr>
      <w:tr w14:paraId="3777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91C8219">
            <w:r>
              <w:rPr>
                <w:rFonts w:ascii="Arial" w:hAnsi="Arial" w:eastAsia="Arial" w:cs="Arial"/>
                <w:color w:val="4A4A4A"/>
                <w:sz w:val="20"/>
                <w:szCs w:val="20"/>
              </w:rPr>
              <w:t>Data Visualisation</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39B943E">
            <w:r>
              <w:rPr>
                <w:rFonts w:ascii="Arial" w:hAnsi="Arial" w:eastAsia="Arial" w:cs="Arial"/>
                <w:color w:val="4A4A4A"/>
                <w:sz w:val="20"/>
                <w:szCs w:val="20"/>
              </w:rPr>
              <w:t>Plotly Express, Plotly Graph Objects</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6B3E9DC">
            <w:r>
              <w:rPr>
                <w:rFonts w:ascii="Arial" w:hAnsi="Arial" w:eastAsia="Arial" w:cs="Arial"/>
                <w:color w:val="4A4A4A"/>
                <w:sz w:val="20"/>
                <w:szCs w:val="20"/>
              </w:rPr>
              <w:t>Interactive charts, scatter plots, histograms, pie charts, heatmaps</w:t>
            </w:r>
          </w:p>
        </w:tc>
      </w:tr>
      <w:tr w14:paraId="158A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618F756">
            <w:r>
              <w:rPr>
                <w:rFonts w:ascii="Arial" w:hAnsi="Arial" w:eastAsia="Arial" w:cs="Arial"/>
                <w:color w:val="4A4A4A"/>
                <w:sz w:val="20"/>
                <w:szCs w:val="20"/>
              </w:rPr>
              <w:t>Risk Analytics</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4F11A29">
            <w:r>
              <w:rPr>
                <w:rFonts w:ascii="Arial" w:hAnsi="Arial" w:eastAsia="Arial" w:cs="Arial"/>
                <w:color w:val="4A4A4A"/>
                <w:sz w:val="20"/>
                <w:szCs w:val="20"/>
              </w:rPr>
              <w:t>NumPy (statistical), Custom Modules</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2509038">
            <w:r>
              <w:rPr>
                <w:rFonts w:ascii="Arial" w:hAnsi="Arial" w:eastAsia="Arial" w:cs="Arial"/>
                <w:color w:val="4A4A4A"/>
                <w:sz w:val="20"/>
                <w:szCs w:val="20"/>
              </w:rPr>
              <w:t>VaR, CVaR, EL calculations and stress testing simulations</w:t>
            </w:r>
          </w:p>
        </w:tc>
      </w:tr>
      <w:tr w14:paraId="3A48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80205FC">
            <w:r>
              <w:rPr>
                <w:rFonts w:ascii="Arial" w:hAnsi="Arial" w:eastAsia="Arial" w:cs="Arial"/>
                <w:color w:val="4A4A4A"/>
                <w:sz w:val="20"/>
                <w:szCs w:val="20"/>
              </w:rPr>
              <w:t>Report Generation</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F7CE386">
            <w:r>
              <w:rPr>
                <w:rFonts w:ascii="Arial" w:hAnsi="Arial" w:eastAsia="Arial" w:cs="Arial"/>
                <w:color w:val="4A4A4A"/>
                <w:sz w:val="20"/>
                <w:szCs w:val="20"/>
              </w:rPr>
              <w:t>PDF generation library (custom module)</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2FF6231">
            <w:r>
              <w:rPr>
                <w:rFonts w:ascii="Arial" w:hAnsi="Arial" w:eastAsia="Arial" w:cs="Arial"/>
                <w:color w:val="4A4A4A"/>
                <w:sz w:val="20"/>
                <w:szCs w:val="20"/>
              </w:rPr>
              <w:t>One-click institutional PDF export for portfolio and compliance reports</w:t>
            </w:r>
          </w:p>
        </w:tc>
      </w:tr>
      <w:tr w14:paraId="5E11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47FD172">
            <w:r>
              <w:rPr>
                <w:rFonts w:ascii="Arial" w:hAnsi="Arial" w:eastAsia="Arial" w:cs="Arial"/>
                <w:color w:val="4A4A4A"/>
                <w:sz w:val="20"/>
                <w:szCs w:val="20"/>
              </w:rPr>
              <w:t>UI Styling</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3A39BA5">
            <w:r>
              <w:rPr>
                <w:rFonts w:ascii="Arial" w:hAnsi="Arial" w:eastAsia="Arial" w:cs="Arial"/>
                <w:color w:val="4A4A4A"/>
                <w:sz w:val="20"/>
                <w:szCs w:val="20"/>
              </w:rPr>
              <w:t>Custom CSS, Google Fonts (Outfit, JetBrains Mono)</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4A1A5B0">
            <w:r>
              <w:rPr>
                <w:rFonts w:ascii="Arial" w:hAnsi="Arial" w:eastAsia="Arial" w:cs="Arial"/>
                <w:color w:val="4A4A4A"/>
                <w:sz w:val="20"/>
                <w:szCs w:val="20"/>
              </w:rPr>
              <w:t>Dark-mode fintech aesthetic, branded component styling</w:t>
            </w:r>
          </w:p>
        </w:tc>
      </w:tr>
      <w:tr w14:paraId="3797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CC7DDE8">
            <w:r>
              <w:rPr>
                <w:rFonts w:ascii="Arial" w:hAnsi="Arial" w:eastAsia="Arial" w:cs="Arial"/>
                <w:color w:val="4A4A4A"/>
                <w:sz w:val="20"/>
                <w:szCs w:val="20"/>
              </w:rPr>
              <w:t>Version Control</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B63E27A">
            <w:r>
              <w:rPr>
                <w:rFonts w:ascii="Arial" w:hAnsi="Arial" w:eastAsia="Arial" w:cs="Arial"/>
                <w:color w:val="4A4A4A"/>
                <w:sz w:val="20"/>
                <w:szCs w:val="20"/>
              </w:rPr>
              <w:t>GitHub Repository</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081D292">
            <w:r>
              <w:rPr>
                <w:rFonts w:ascii="Arial" w:hAnsi="Arial" w:eastAsia="Arial" w:cs="Arial"/>
                <w:color w:val="4A4A4A"/>
                <w:sz w:val="20"/>
                <w:szCs w:val="20"/>
              </w:rPr>
              <w:t>Source control, collaborative development, module versioning</w:t>
            </w:r>
          </w:p>
        </w:tc>
      </w:tr>
    </w:tbl>
    <w:p w14:paraId="58C3B1C5">
      <w:pPr>
        <w:spacing w:before="120" w:after="0"/>
      </w:pPr>
    </w:p>
    <w:p w14:paraId="28A2BD8E">
      <w:pPr>
        <w:pStyle w:val="3"/>
        <w:spacing w:before="280" w:after="120"/>
      </w:pPr>
      <w:r>
        <w:rPr>
          <w:rFonts w:ascii="Arial" w:hAnsi="Arial" w:eastAsia="Arial" w:cs="Arial"/>
          <w:b/>
          <w:bCs/>
          <w:color w:val="2E5FA3"/>
          <w:sz w:val="26"/>
          <w:szCs w:val="26"/>
        </w:rPr>
        <w:t>6.2  Application Architecture</w:t>
      </w:r>
    </w:p>
    <w:p w14:paraId="728204FB">
      <w:pPr>
        <w:spacing w:before="60" w:after="80"/>
      </w:pPr>
      <w:r>
        <w:rPr>
          <w:rFonts w:ascii="Arial" w:hAnsi="Arial" w:eastAsia="Arial" w:cs="Arial"/>
          <w:color w:val="4A4A4A"/>
          <w:sz w:val="22"/>
          <w:szCs w:val="22"/>
        </w:rPr>
        <w:t>FinGuard follows a modular monolithic architecture implemented in Python. The application entry point (app1.py) handles page routing, global state management, and the central model loading pipeline. Each functional module is encapsulated in a dedicated Python file under the /modules directory, ensuring clean separation of concerns and independent testability.</w:t>
      </w:r>
    </w:p>
    <w:p w14:paraId="7E444CDA">
      <w:pPr>
        <w:spacing w:before="80" w:after="0"/>
      </w:pPr>
    </w:p>
    <w:p w14:paraId="3544D0EA">
      <w:pPr>
        <w:spacing w:before="60" w:after="80"/>
      </w:pPr>
      <w:r>
        <w:rPr>
          <w:rFonts w:ascii="Arial" w:hAnsi="Arial" w:eastAsia="Arial" w:cs="Arial"/>
          <w:color w:val="4A4A4A"/>
          <w:sz w:val="22"/>
          <w:szCs w:val="22"/>
        </w:rPr>
        <w:t>The core data flow is as follows:</w:t>
      </w:r>
    </w:p>
    <w:p w14:paraId="607C6637">
      <w:pPr>
        <w:spacing w:before="60" w:after="0"/>
      </w:pPr>
    </w:p>
    <w:p w14:paraId="1FA10C03">
      <w:pPr>
        <w:pStyle w:val="16"/>
        <w:numPr>
          <w:ilvl w:val="0"/>
          <w:numId w:val="1"/>
        </w:numPr>
        <w:spacing w:before="40" w:after="40"/>
      </w:pPr>
      <w:r>
        <w:rPr>
          <w:rFonts w:ascii="Arial" w:hAnsi="Arial" w:eastAsia="Arial" w:cs="Arial"/>
          <w:color w:val="4A4A4A"/>
          <w:sz w:val="22"/>
          <w:szCs w:val="22"/>
        </w:rPr>
        <w:t>On application startup, load_model_and_data() (modules/model_engine.py) loads the trained Random Forest model, the Label Encoder, and the applicant dataset into memory.</w:t>
      </w:r>
    </w:p>
    <w:p w14:paraId="5D024735">
      <w:pPr>
        <w:pStyle w:val="16"/>
        <w:numPr>
          <w:ilvl w:val="0"/>
          <w:numId w:val="1"/>
        </w:numPr>
        <w:spacing w:before="40" w:after="40"/>
      </w:pPr>
      <w:r>
        <w:rPr>
          <w:rFonts w:ascii="Arial" w:hAnsi="Arial" w:eastAsia="Arial" w:cs="Arial"/>
          <w:color w:val="4A4A4A"/>
          <w:sz w:val="22"/>
          <w:szCs w:val="22"/>
        </w:rPr>
        <w:t>The sidebar navigation routes the user's selection to the appropriate module function (e.g., run_analytics(), run_risk_dashboard(), run_fraud_detection(), etc.).</w:t>
      </w:r>
    </w:p>
    <w:p w14:paraId="06AAD386">
      <w:pPr>
        <w:pStyle w:val="16"/>
        <w:numPr>
          <w:ilvl w:val="0"/>
          <w:numId w:val="1"/>
        </w:numPr>
        <w:spacing w:before="40" w:after="40"/>
      </w:pPr>
      <w:r>
        <w:rPr>
          <w:rFonts w:ascii="Arial" w:hAnsi="Arial" w:eastAsia="Arial" w:cs="Arial"/>
          <w:color w:val="4A4A4A"/>
          <w:sz w:val="22"/>
          <w:szCs w:val="22"/>
        </w:rPr>
        <w:t>Each module function operates independently on the shared dataset and model objects, rendering its visualisations and outputs directly to the Streamlit interface.</w:t>
      </w:r>
    </w:p>
    <w:p w14:paraId="72CE6282">
      <w:pPr>
        <w:pStyle w:val="16"/>
        <w:numPr>
          <w:ilvl w:val="0"/>
          <w:numId w:val="1"/>
        </w:numPr>
        <w:spacing w:before="40" w:after="40"/>
      </w:pPr>
      <w:r>
        <w:rPr>
          <w:rFonts w:ascii="Arial" w:hAnsi="Arial" w:eastAsia="Arial" w:cs="Arial"/>
          <w:color w:val="4A4A4A"/>
          <w:sz w:val="22"/>
          <w:szCs w:val="22"/>
        </w:rPr>
        <w:t>For KYC verification, image processing is performed client-side via file upload and YOLO inference runs server-side in the KYC engine module.</w:t>
      </w:r>
    </w:p>
    <w:p w14:paraId="0D4A4E25">
      <w:pPr>
        <w:pStyle w:val="16"/>
        <w:numPr>
          <w:ilvl w:val="0"/>
          <w:numId w:val="1"/>
        </w:numPr>
        <w:spacing w:before="40" w:after="40"/>
      </w:pPr>
      <w:r>
        <w:rPr>
          <w:rFonts w:ascii="Arial" w:hAnsi="Arial" w:eastAsia="Arial" w:cs="Arial"/>
          <w:color w:val="4A4A4A"/>
          <w:sz w:val="22"/>
          <w:szCs w:val="22"/>
        </w:rPr>
        <w:t>PDF reports are generated on-demand by the report_generator module and made available as a file download.</w:t>
      </w:r>
    </w:p>
    <w:p w14:paraId="18370040">
      <w:pPr>
        <w:spacing w:before="120" w:after="0"/>
      </w:pPr>
    </w:p>
    <w:p w14:paraId="6ECD16EE">
      <w:pPr>
        <w:pStyle w:val="3"/>
        <w:spacing w:before="280" w:after="120"/>
      </w:pPr>
      <w:r>
        <w:rPr>
          <w:rFonts w:ascii="Arial" w:hAnsi="Arial" w:eastAsia="Arial" w:cs="Arial"/>
          <w:b/>
          <w:bCs/>
          <w:color w:val="2E5FA3"/>
          <w:sz w:val="26"/>
          <w:szCs w:val="26"/>
        </w:rPr>
        <w:t>6.3  Module Directory Structure</w:t>
      </w:r>
    </w:p>
    <w:p w14:paraId="2F7AABB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969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F221C1C">
            <w:pPr>
              <w:jc w:val="center"/>
            </w:pPr>
            <w:r>
              <w:rPr>
                <w:rFonts w:ascii="Arial" w:hAnsi="Arial" w:eastAsia="Arial" w:cs="Arial"/>
                <w:b/>
                <w:bCs/>
                <w:color w:val="FFFFFF"/>
                <w:sz w:val="20"/>
                <w:szCs w:val="20"/>
              </w:rPr>
              <w:t>File / Module</w:t>
            </w:r>
          </w:p>
        </w:tc>
        <w:tc>
          <w:tcPr>
            <w:tcW w:w="62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45480400">
            <w:pPr>
              <w:jc w:val="center"/>
            </w:pPr>
            <w:r>
              <w:rPr>
                <w:rFonts w:ascii="Arial" w:hAnsi="Arial" w:eastAsia="Arial" w:cs="Arial"/>
                <w:b/>
                <w:bCs/>
                <w:color w:val="FFFFFF"/>
                <w:sz w:val="20"/>
                <w:szCs w:val="20"/>
              </w:rPr>
              <w:t>Responsibility</w:t>
            </w:r>
          </w:p>
        </w:tc>
      </w:tr>
      <w:tr w14:paraId="3E1B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42DDB03">
            <w:r>
              <w:rPr>
                <w:rFonts w:ascii="Arial" w:hAnsi="Arial" w:eastAsia="Arial" w:cs="Arial"/>
                <w:color w:val="4A4A4A"/>
                <w:sz w:val="20"/>
                <w:szCs w:val="20"/>
              </w:rPr>
              <w:t>app1.py</w:t>
            </w:r>
          </w:p>
        </w:tc>
        <w:tc>
          <w:tcPr>
            <w:tcW w:w="62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EC551FE">
            <w:r>
              <w:rPr>
                <w:rFonts w:ascii="Arial" w:hAnsi="Arial" w:eastAsia="Arial" w:cs="Arial"/>
                <w:color w:val="4A4A4A"/>
                <w:sz w:val="20"/>
                <w:szCs w:val="20"/>
              </w:rPr>
              <w:t>Application entry point — page routing, header, sidebar, model loading, footer</w:t>
            </w:r>
          </w:p>
        </w:tc>
      </w:tr>
      <w:tr w14:paraId="6DB9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3749187">
            <w:r>
              <w:rPr>
                <w:rFonts w:ascii="Arial" w:hAnsi="Arial" w:eastAsia="Arial" w:cs="Arial"/>
                <w:color w:val="4A4A4A"/>
                <w:sz w:val="20"/>
                <w:szCs w:val="20"/>
              </w:rPr>
              <w:t>modules/model_engine.py</w:t>
            </w:r>
          </w:p>
        </w:tc>
        <w:tc>
          <w:tcPr>
            <w:tcW w:w="62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E98F54D">
            <w:r>
              <w:rPr>
                <w:rFonts w:ascii="Arial" w:hAnsi="Arial" w:eastAsia="Arial" w:cs="Arial"/>
                <w:color w:val="4A4A4A"/>
                <w:sz w:val="20"/>
                <w:szCs w:val="20"/>
              </w:rPr>
              <w:t>Random Forest model training/loading, Label Encoder, dataset ingestion</w:t>
            </w:r>
          </w:p>
        </w:tc>
      </w:tr>
      <w:tr w14:paraId="0EC7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55BD0CD">
            <w:r>
              <w:rPr>
                <w:rFonts w:ascii="Arial" w:hAnsi="Arial" w:eastAsia="Arial" w:cs="Arial"/>
                <w:color w:val="4A4A4A"/>
                <w:sz w:val="20"/>
                <w:szCs w:val="20"/>
              </w:rPr>
              <w:t>modules/analytics.py</w:t>
            </w:r>
          </w:p>
        </w:tc>
        <w:tc>
          <w:tcPr>
            <w:tcW w:w="62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EBB52FD">
            <w:r>
              <w:rPr>
                <w:rFonts w:ascii="Arial" w:hAnsi="Arial" w:eastAsia="Arial" w:cs="Arial"/>
                <w:color w:val="4A4A4A"/>
                <w:sz w:val="20"/>
                <w:szCs w:val="20"/>
              </w:rPr>
              <w:t>EDA visualisations — income, loan, age, correlation charts</w:t>
            </w:r>
          </w:p>
        </w:tc>
      </w:tr>
      <w:tr w14:paraId="2227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971971F">
            <w:r>
              <w:rPr>
                <w:rFonts w:ascii="Arial" w:hAnsi="Arial" w:eastAsia="Arial" w:cs="Arial"/>
                <w:color w:val="4A4A4A"/>
                <w:sz w:val="20"/>
                <w:szCs w:val="20"/>
              </w:rPr>
              <w:t>modules/risk_compliance.py</w:t>
            </w:r>
          </w:p>
        </w:tc>
        <w:tc>
          <w:tcPr>
            <w:tcW w:w="62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B346AFE">
            <w:r>
              <w:rPr>
                <w:rFonts w:ascii="Arial" w:hAnsi="Arial" w:eastAsia="Arial" w:cs="Arial"/>
                <w:color w:val="4A4A4A"/>
                <w:sz w:val="20"/>
                <w:szCs w:val="20"/>
              </w:rPr>
              <w:t>VaR, CVaR, EL calculations, AML scoring engine, compliance checklist</w:t>
            </w:r>
          </w:p>
        </w:tc>
      </w:tr>
      <w:tr w14:paraId="3EEA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72189DA">
            <w:r>
              <w:rPr>
                <w:rFonts w:ascii="Arial" w:hAnsi="Arial" w:eastAsia="Arial" w:cs="Arial"/>
                <w:color w:val="4A4A4A"/>
                <w:sz w:val="20"/>
                <w:szCs w:val="20"/>
              </w:rPr>
              <w:t>modules/fraud_detection.py</w:t>
            </w:r>
          </w:p>
        </w:tc>
        <w:tc>
          <w:tcPr>
            <w:tcW w:w="62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D1DAB2A">
            <w:r>
              <w:rPr>
                <w:rFonts w:ascii="Arial" w:hAnsi="Arial" w:eastAsia="Arial" w:cs="Arial"/>
                <w:color w:val="4A4A4A"/>
                <w:sz w:val="20"/>
                <w:szCs w:val="20"/>
              </w:rPr>
              <w:t>Isolation Forest anomaly detection, K-Means segmentation, scatter maps</w:t>
            </w:r>
          </w:p>
        </w:tc>
      </w:tr>
      <w:tr w14:paraId="4F70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578D127">
            <w:r>
              <w:rPr>
                <w:rFonts w:ascii="Arial" w:hAnsi="Arial" w:eastAsia="Arial" w:cs="Arial"/>
                <w:color w:val="4A4A4A"/>
                <w:sz w:val="20"/>
                <w:szCs w:val="20"/>
              </w:rPr>
              <w:t>modules/kyc_engine.py</w:t>
            </w:r>
          </w:p>
        </w:tc>
        <w:tc>
          <w:tcPr>
            <w:tcW w:w="62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06E76D9">
            <w:r>
              <w:rPr>
                <w:rFonts w:ascii="Arial" w:hAnsi="Arial" w:eastAsia="Arial" w:cs="Arial"/>
                <w:color w:val="4A4A4A"/>
                <w:sz w:val="20"/>
                <w:szCs w:val="20"/>
              </w:rPr>
              <w:t>Government ID upload, selfie capture, YOLO inference, verification output</w:t>
            </w:r>
          </w:p>
        </w:tc>
      </w:tr>
      <w:tr w14:paraId="7750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A16FCE8">
            <w:r>
              <w:rPr>
                <w:rFonts w:ascii="Arial" w:hAnsi="Arial" w:eastAsia="Arial" w:cs="Arial"/>
                <w:color w:val="4A4A4A"/>
                <w:sz w:val="20"/>
                <w:szCs w:val="20"/>
              </w:rPr>
              <w:t>modules/credit_profiler.py</w:t>
            </w:r>
          </w:p>
        </w:tc>
        <w:tc>
          <w:tcPr>
            <w:tcW w:w="62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3BD2AA2">
            <w:r>
              <w:rPr>
                <w:rFonts w:ascii="Arial" w:hAnsi="Arial" w:eastAsia="Arial" w:cs="Arial"/>
                <w:color w:val="4A4A4A"/>
                <w:sz w:val="20"/>
                <w:szCs w:val="20"/>
              </w:rPr>
              <w:t>Credit score gauge, RF inference, APPROVED/REJECTED output, EL breakdown</w:t>
            </w:r>
          </w:p>
        </w:tc>
      </w:tr>
      <w:tr w14:paraId="15AA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9517A2C">
            <w:r>
              <w:rPr>
                <w:rFonts w:ascii="Arial" w:hAnsi="Arial" w:eastAsia="Arial" w:cs="Arial"/>
                <w:color w:val="4A4A4A"/>
                <w:sz w:val="20"/>
                <w:szCs w:val="20"/>
              </w:rPr>
              <w:t>modules/batch_scorer.py</w:t>
            </w:r>
          </w:p>
        </w:tc>
        <w:tc>
          <w:tcPr>
            <w:tcW w:w="62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2F909BF">
            <w:r>
              <w:rPr>
                <w:rFonts w:ascii="Arial" w:hAnsi="Arial" w:eastAsia="Arial" w:cs="Arial"/>
                <w:color w:val="4A4A4A"/>
                <w:sz w:val="20"/>
                <w:szCs w:val="20"/>
              </w:rPr>
              <w:t>CSV batch upload, bulk model inference, results display and CSV export</w:t>
            </w:r>
          </w:p>
        </w:tc>
      </w:tr>
      <w:tr w14:paraId="3F96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4C0B404">
            <w:r>
              <w:rPr>
                <w:rFonts w:ascii="Arial" w:hAnsi="Arial" w:eastAsia="Arial" w:cs="Arial"/>
                <w:color w:val="4A4A4A"/>
                <w:sz w:val="20"/>
                <w:szCs w:val="20"/>
              </w:rPr>
              <w:t>modules/portfolio.py</w:t>
            </w:r>
          </w:p>
        </w:tc>
        <w:tc>
          <w:tcPr>
            <w:tcW w:w="62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CABBB6F">
            <w:r>
              <w:rPr>
                <w:rFonts w:ascii="Arial" w:hAnsi="Arial" w:eastAsia="Arial" w:cs="Arial"/>
                <w:color w:val="4A4A4A"/>
                <w:sz w:val="20"/>
                <w:szCs w:val="20"/>
              </w:rPr>
              <w:t>Portfolio summary, stress testing scenarios, heatmaps, PDF export trigger</w:t>
            </w:r>
          </w:p>
        </w:tc>
      </w:tr>
      <w:tr w14:paraId="7947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BFED51B">
            <w:r>
              <w:rPr>
                <w:rFonts w:ascii="Arial" w:hAnsi="Arial" w:eastAsia="Arial" w:cs="Arial"/>
                <w:color w:val="4A4A4A"/>
                <w:sz w:val="20"/>
                <w:szCs w:val="20"/>
              </w:rPr>
              <w:t>modules/report_generator.py</w:t>
            </w:r>
          </w:p>
        </w:tc>
        <w:tc>
          <w:tcPr>
            <w:tcW w:w="62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94F1A0B">
            <w:r>
              <w:rPr>
                <w:rFonts w:ascii="Arial" w:hAnsi="Arial" w:eastAsia="Arial" w:cs="Arial"/>
                <w:color w:val="4A4A4A"/>
                <w:sz w:val="20"/>
                <w:szCs w:val="20"/>
              </w:rPr>
              <w:t>PDF report generation — portfolio metrics, stress results, compliance summary</w:t>
            </w:r>
          </w:p>
        </w:tc>
      </w:tr>
    </w:tbl>
    <w:p w14:paraId="2DF4C03C">
      <w:r>
        <w:br w:type="page"/>
      </w:r>
    </w:p>
    <w:p w14:paraId="5A0DD60C">
      <w:pPr>
        <w:shd w:val="clear" w:fill="1B3A6B"/>
        <w:spacing w:before="300" w:after="100"/>
      </w:pPr>
      <w:r>
        <w:rPr>
          <w:rFonts w:ascii="Arial" w:hAnsi="Arial" w:eastAsia="Arial" w:cs="Arial"/>
          <w:b/>
          <w:bCs/>
          <w:color w:val="00D4FF"/>
          <w:sz w:val="28"/>
          <w:szCs w:val="28"/>
        </w:rPr>
        <w:t xml:space="preserve">  7  </w:t>
      </w:r>
      <w:r>
        <w:rPr>
          <w:rFonts w:ascii="Arial" w:hAnsi="Arial" w:eastAsia="Arial" w:cs="Arial"/>
          <w:b/>
          <w:bCs/>
          <w:color w:val="FFFFFF"/>
          <w:sz w:val="28"/>
          <w:szCs w:val="28"/>
        </w:rPr>
        <w:t>Compliance &amp; Regulatory Framework</w:t>
      </w:r>
    </w:p>
    <w:p w14:paraId="008882C4">
      <w:pPr>
        <w:spacing w:before="100" w:after="0"/>
      </w:pPr>
    </w:p>
    <w:p w14:paraId="4C123642">
      <w:pPr>
        <w:pStyle w:val="3"/>
        <w:spacing w:before="280" w:after="120"/>
      </w:pPr>
      <w:r>
        <w:rPr>
          <w:rFonts w:ascii="Arial" w:hAnsi="Arial" w:eastAsia="Arial" w:cs="Arial"/>
          <w:b/>
          <w:bCs/>
          <w:color w:val="2E5FA3"/>
          <w:sz w:val="26"/>
          <w:szCs w:val="26"/>
        </w:rPr>
        <w:t>7.1  RBI Regulatory Compliance</w:t>
      </w:r>
    </w:p>
    <w:p w14:paraId="6BCFC6FC">
      <w:pPr>
        <w:spacing w:before="60" w:after="80"/>
      </w:pPr>
      <w:r>
        <w:rPr>
          <w:rFonts w:ascii="Arial" w:hAnsi="Arial" w:eastAsia="Arial" w:cs="Arial"/>
          <w:color w:val="4A4A4A"/>
          <w:sz w:val="22"/>
          <w:szCs w:val="22"/>
        </w:rPr>
        <w:t>FinGuard is designed to operate within the regulatory framework established by the Reserve Bank of India (RBI) for digital lending platforms and NBFCs. The following RBI guidelines are tracked and enforced within the Compliance Checklist module:</w:t>
      </w:r>
    </w:p>
    <w:p w14:paraId="00E00C5E">
      <w:pPr>
        <w:spacing w:before="80" w:after="0"/>
      </w:pPr>
    </w:p>
    <w:p w14:paraId="6DE94DA2">
      <w:pPr>
        <w:pStyle w:val="16"/>
        <w:numPr>
          <w:ilvl w:val="0"/>
          <w:numId w:val="1"/>
        </w:numPr>
        <w:spacing w:before="40" w:after="40"/>
      </w:pPr>
      <w:r>
        <w:rPr>
          <w:rFonts w:ascii="Arial" w:hAnsi="Arial" w:eastAsia="Arial" w:cs="Arial"/>
          <w:color w:val="4A4A4A"/>
          <w:sz w:val="22"/>
          <w:szCs w:val="22"/>
        </w:rPr>
        <w:t>Fair Practice Code (FPC): All loan communications shall disclose interest rates, processing fees, and terms in a clear and non-deceptive manner.</w:t>
      </w:r>
    </w:p>
    <w:p w14:paraId="0A880DB4">
      <w:pPr>
        <w:pStyle w:val="16"/>
        <w:numPr>
          <w:ilvl w:val="0"/>
          <w:numId w:val="1"/>
        </w:numPr>
        <w:spacing w:before="40" w:after="40"/>
      </w:pPr>
      <w:r>
        <w:rPr>
          <w:rFonts w:ascii="Arial" w:hAnsi="Arial" w:eastAsia="Arial" w:cs="Arial"/>
          <w:color w:val="4A4A4A"/>
          <w:sz w:val="22"/>
          <w:szCs w:val="22"/>
        </w:rPr>
        <w:t>Interest Rate Disclosure: The platform shall display annualised interest rates (APR) prominently in all loan decision outputs.</w:t>
      </w:r>
    </w:p>
    <w:p w14:paraId="71D9FD8A">
      <w:pPr>
        <w:pStyle w:val="16"/>
        <w:numPr>
          <w:ilvl w:val="0"/>
          <w:numId w:val="1"/>
        </w:numPr>
        <w:spacing w:before="40" w:after="40"/>
      </w:pPr>
      <w:r>
        <w:rPr>
          <w:rFonts w:ascii="Arial" w:hAnsi="Arial" w:eastAsia="Arial" w:cs="Arial"/>
          <w:color w:val="4A4A4A"/>
          <w:sz w:val="22"/>
          <w:szCs w:val="22"/>
        </w:rPr>
        <w:t>Cooling-Off Period: The system design shall accommodate RBI-mandated cooling-off periods, during which a borrower may cancel a loan without penalty.</w:t>
      </w:r>
    </w:p>
    <w:p w14:paraId="503333D9">
      <w:pPr>
        <w:pStyle w:val="16"/>
        <w:numPr>
          <w:ilvl w:val="0"/>
          <w:numId w:val="1"/>
        </w:numPr>
        <w:spacing w:before="40" w:after="40"/>
      </w:pPr>
      <w:r>
        <w:rPr>
          <w:rFonts w:ascii="Arial" w:hAnsi="Arial" w:eastAsia="Arial" w:cs="Arial"/>
          <w:color w:val="4A4A4A"/>
          <w:sz w:val="22"/>
          <w:szCs w:val="22"/>
        </w:rPr>
        <w:t>Digital Loan Agreement: All loan approvals shall be contingent on execution of a digital loan agreement meeting RBI's e-signature requirements.</w:t>
      </w:r>
    </w:p>
    <w:p w14:paraId="57A60CDB">
      <w:pPr>
        <w:pStyle w:val="16"/>
        <w:numPr>
          <w:ilvl w:val="0"/>
          <w:numId w:val="1"/>
        </w:numPr>
        <w:spacing w:before="40" w:after="40"/>
      </w:pPr>
      <w:r>
        <w:rPr>
          <w:rFonts w:ascii="Arial" w:hAnsi="Arial" w:eastAsia="Arial" w:cs="Arial"/>
          <w:color w:val="4A4A4A"/>
          <w:sz w:val="22"/>
          <w:szCs w:val="22"/>
        </w:rPr>
        <w:t>Grievance Redressal: The platform documentation shall reference the financial institution's registered grievance redressal officer and contact details.</w:t>
      </w:r>
    </w:p>
    <w:p w14:paraId="489E4125">
      <w:pPr>
        <w:spacing w:before="120" w:after="0"/>
      </w:pPr>
    </w:p>
    <w:p w14:paraId="7A68811C">
      <w:pPr>
        <w:pStyle w:val="3"/>
        <w:spacing w:before="280" w:after="120"/>
      </w:pPr>
      <w:r>
        <w:rPr>
          <w:rFonts w:ascii="Arial" w:hAnsi="Arial" w:eastAsia="Arial" w:cs="Arial"/>
          <w:b/>
          <w:bCs/>
          <w:color w:val="2E5FA3"/>
          <w:sz w:val="26"/>
          <w:szCs w:val="26"/>
        </w:rPr>
        <w:t>7.2  KYC / AML Compliance</w:t>
      </w:r>
    </w:p>
    <w:p w14:paraId="1F4399EB">
      <w:pPr>
        <w:spacing w:before="60" w:after="80"/>
      </w:pPr>
      <w:r>
        <w:rPr>
          <w:rFonts w:ascii="Arial" w:hAnsi="Arial" w:eastAsia="Arial" w:cs="Arial"/>
          <w:color w:val="4A4A4A"/>
          <w:sz w:val="22"/>
          <w:szCs w:val="22"/>
        </w:rPr>
        <w:t>The KYC and AML modules are aligned with the Prevention of Money Laundering Act (PMLA) 2002 and the RBI's Master Direction on KYC (updated 2023):</w:t>
      </w:r>
    </w:p>
    <w:p w14:paraId="6239AFE2">
      <w:pPr>
        <w:spacing w:before="80" w:after="0"/>
      </w:pPr>
    </w:p>
    <w:p w14:paraId="69A86E84">
      <w:pPr>
        <w:pStyle w:val="16"/>
        <w:numPr>
          <w:ilvl w:val="0"/>
          <w:numId w:val="1"/>
        </w:numPr>
        <w:spacing w:before="40" w:after="40"/>
      </w:pPr>
      <w:r>
        <w:rPr>
          <w:rFonts w:ascii="Arial" w:hAnsi="Arial" w:eastAsia="Arial" w:cs="Arial"/>
          <w:color w:val="4A4A4A"/>
          <w:sz w:val="22"/>
          <w:szCs w:val="22"/>
        </w:rPr>
        <w:t>Identity Verification: PAN card and Aadhaar card verification shall be mandatory for all individual loan applicants. Passport shall be accepted as a supplementary document.</w:t>
      </w:r>
    </w:p>
    <w:p w14:paraId="57FF8D3B">
      <w:pPr>
        <w:pStyle w:val="16"/>
        <w:numPr>
          <w:ilvl w:val="0"/>
          <w:numId w:val="1"/>
        </w:numPr>
        <w:spacing w:before="40" w:after="40"/>
      </w:pPr>
      <w:r>
        <w:rPr>
          <w:rFonts w:ascii="Arial" w:hAnsi="Arial" w:eastAsia="Arial" w:cs="Arial"/>
          <w:color w:val="4A4A4A"/>
          <w:sz w:val="22"/>
          <w:szCs w:val="22"/>
        </w:rPr>
        <w:t>Source of Funds: Applicants shall be required to declare the source of funds for the purpose of the loan, which shall be recorded and screened.</w:t>
      </w:r>
    </w:p>
    <w:p w14:paraId="510C6760">
      <w:pPr>
        <w:pStyle w:val="16"/>
        <w:numPr>
          <w:ilvl w:val="0"/>
          <w:numId w:val="1"/>
        </w:numPr>
        <w:spacing w:before="40" w:after="40"/>
      </w:pPr>
      <w:r>
        <w:rPr>
          <w:rFonts w:ascii="Arial" w:hAnsi="Arial" w:eastAsia="Arial" w:cs="Arial"/>
          <w:color w:val="4A4A4A"/>
          <w:sz w:val="22"/>
          <w:szCs w:val="22"/>
        </w:rPr>
        <w:t>AML Screening: All applicants shall be screened through the AML engine against declared income, loan size, country of origin, transaction frequency, and PEP status.</w:t>
      </w:r>
    </w:p>
    <w:p w14:paraId="7E4CE51E">
      <w:pPr>
        <w:pStyle w:val="16"/>
        <w:numPr>
          <w:ilvl w:val="0"/>
          <w:numId w:val="1"/>
        </w:numPr>
        <w:spacing w:before="40" w:after="40"/>
      </w:pPr>
      <w:r>
        <w:rPr>
          <w:rFonts w:ascii="Arial" w:hAnsi="Arial" w:eastAsia="Arial" w:cs="Arial"/>
          <w:color w:val="4A4A4A"/>
          <w:sz w:val="22"/>
          <w:szCs w:val="22"/>
        </w:rPr>
        <w:t>PEP Checks: Politically Exposed Persons shall receive additional scrutiny and shall not be auto-approved; all PEP applications shall be flagged for manual review.</w:t>
      </w:r>
    </w:p>
    <w:p w14:paraId="0263DD2D">
      <w:pPr>
        <w:pStyle w:val="16"/>
        <w:numPr>
          <w:ilvl w:val="0"/>
          <w:numId w:val="1"/>
        </w:numPr>
        <w:spacing w:before="40" w:after="40"/>
      </w:pPr>
      <w:r>
        <w:rPr>
          <w:rFonts w:ascii="Arial" w:hAnsi="Arial" w:eastAsia="Arial" w:cs="Arial"/>
          <w:color w:val="4A4A4A"/>
          <w:sz w:val="22"/>
          <w:szCs w:val="22"/>
        </w:rPr>
        <w:t>Record Keeping: Verification outcomes, AML scores, and compliance check results shall be logged and auditable for a minimum of 5 years.</w:t>
      </w:r>
    </w:p>
    <w:p w14:paraId="550D797D">
      <w:pPr>
        <w:spacing w:before="120" w:after="0"/>
      </w:pPr>
    </w:p>
    <w:p w14:paraId="45B6FB34">
      <w:pPr>
        <w:pStyle w:val="3"/>
        <w:spacing w:before="280" w:after="120"/>
      </w:pPr>
      <w:r>
        <w:rPr>
          <w:rFonts w:ascii="Arial" w:hAnsi="Arial" w:eastAsia="Arial" w:cs="Arial"/>
          <w:b/>
          <w:bCs/>
          <w:color w:val="2E5FA3"/>
          <w:sz w:val="26"/>
          <w:szCs w:val="26"/>
        </w:rPr>
        <w:t>7.3  Data Privacy &amp; Ethics</w:t>
      </w:r>
    </w:p>
    <w:p w14:paraId="15E2A9D9">
      <w:pPr>
        <w:pStyle w:val="16"/>
        <w:numPr>
          <w:ilvl w:val="0"/>
          <w:numId w:val="1"/>
        </w:numPr>
        <w:spacing w:before="40" w:after="40"/>
      </w:pPr>
      <w:r>
        <w:rPr>
          <w:rFonts w:ascii="Arial" w:hAnsi="Arial" w:eastAsia="Arial" w:cs="Arial"/>
          <w:color w:val="4A4A4A"/>
          <w:sz w:val="22"/>
          <w:szCs w:val="22"/>
        </w:rPr>
        <w:t>The platform shall not use protected characteristics such as gender, caste, religion, or national origin as features in the credit scoring model.</w:t>
      </w:r>
    </w:p>
    <w:p w14:paraId="370B01D6">
      <w:pPr>
        <w:pStyle w:val="16"/>
        <w:numPr>
          <w:ilvl w:val="0"/>
          <w:numId w:val="1"/>
        </w:numPr>
        <w:spacing w:before="40" w:after="40"/>
      </w:pPr>
      <w:r>
        <w:rPr>
          <w:rFonts w:ascii="Arial" w:hAnsi="Arial" w:eastAsia="Arial" w:cs="Arial"/>
          <w:color w:val="4A4A4A"/>
          <w:sz w:val="22"/>
          <w:szCs w:val="22"/>
        </w:rPr>
        <w:t>All AI-driven decisions shall be logged with the input features used, enabling post-hoc fairness audits.</w:t>
      </w:r>
    </w:p>
    <w:p w14:paraId="5AA20A16">
      <w:pPr>
        <w:pStyle w:val="16"/>
        <w:numPr>
          <w:ilvl w:val="0"/>
          <w:numId w:val="1"/>
        </w:numPr>
        <w:spacing w:before="40" w:after="40"/>
      </w:pPr>
      <w:r>
        <w:rPr>
          <w:rFonts w:ascii="Arial" w:hAnsi="Arial" w:eastAsia="Arial" w:cs="Arial"/>
          <w:color w:val="4A4A4A"/>
          <w:sz w:val="22"/>
          <w:szCs w:val="22"/>
        </w:rPr>
        <w:t>Phase 2 shall introduce an explainability layer (SHAP / LIME) to enable borrowers and regulators to understand the basis of credit decisions — a requirement under proposed RBI AI governance guidelines.</w:t>
      </w:r>
    </w:p>
    <w:p w14:paraId="4119C4B1">
      <w:pPr>
        <w:pStyle w:val="16"/>
        <w:numPr>
          <w:ilvl w:val="0"/>
          <w:numId w:val="1"/>
        </w:numPr>
        <w:spacing w:before="40" w:after="40"/>
      </w:pPr>
      <w:r>
        <w:rPr>
          <w:rFonts w:ascii="Arial" w:hAnsi="Arial" w:eastAsia="Arial" w:cs="Arial"/>
          <w:color w:val="4A4A4A"/>
          <w:sz w:val="22"/>
          <w:szCs w:val="22"/>
        </w:rPr>
        <w:t>Applicant data shall be processed only for the purpose of credit decisioning and shall not be shared with third parties without explicit consent.</w:t>
      </w:r>
    </w:p>
    <w:p w14:paraId="024D66EF">
      <w:r>
        <w:br w:type="page"/>
      </w:r>
    </w:p>
    <w:p w14:paraId="519AF2DD">
      <w:pPr>
        <w:shd w:val="clear" w:fill="1B3A6B"/>
        <w:spacing w:before="300" w:after="100"/>
      </w:pPr>
      <w:r>
        <w:rPr>
          <w:rFonts w:ascii="Arial" w:hAnsi="Arial" w:eastAsia="Arial" w:cs="Arial"/>
          <w:b/>
          <w:bCs/>
          <w:color w:val="00D4FF"/>
          <w:sz w:val="28"/>
          <w:szCs w:val="28"/>
        </w:rPr>
        <w:t xml:space="preserve">  8  </w:t>
      </w:r>
      <w:r>
        <w:rPr>
          <w:rFonts w:ascii="Arial" w:hAnsi="Arial" w:eastAsia="Arial" w:cs="Arial"/>
          <w:b/>
          <w:bCs/>
          <w:color w:val="FFFFFF"/>
          <w:sz w:val="28"/>
          <w:szCs w:val="28"/>
        </w:rPr>
        <w:t>Real-World Use Cases</w:t>
      </w:r>
    </w:p>
    <w:p w14:paraId="359C6C7F">
      <w:pPr>
        <w:spacing w:before="100" w:after="0"/>
      </w:pPr>
    </w:p>
    <w:p w14:paraId="256CBD34">
      <w:pPr>
        <w:pStyle w:val="3"/>
        <w:spacing w:before="280" w:after="120"/>
      </w:pPr>
      <w:r>
        <w:rPr>
          <w:rFonts w:ascii="Arial" w:hAnsi="Arial" w:eastAsia="Arial" w:cs="Arial"/>
          <w:b/>
          <w:bCs/>
          <w:color w:val="2E5FA3"/>
          <w:sz w:val="26"/>
          <w:szCs w:val="26"/>
        </w:rPr>
        <w:t>8.1  Use Case Summary</w:t>
      </w:r>
    </w:p>
    <w:p w14:paraId="78C278A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5505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68FB224D">
            <w:pPr>
              <w:jc w:val="center"/>
            </w:pPr>
            <w:r>
              <w:rPr>
                <w:rFonts w:ascii="Arial" w:hAnsi="Arial" w:eastAsia="Arial" w:cs="Arial"/>
                <w:b/>
                <w:bCs/>
                <w:color w:val="FFFFFF"/>
                <w:sz w:val="20"/>
                <w:szCs w:val="20"/>
              </w:rPr>
              <w:t>User Segment</w:t>
            </w:r>
          </w:p>
        </w:tc>
        <w:tc>
          <w:tcPr>
            <w:tcW w:w="23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5443ABF6">
            <w:pPr>
              <w:jc w:val="center"/>
            </w:pPr>
            <w:r>
              <w:rPr>
                <w:rFonts w:ascii="Arial" w:hAnsi="Arial" w:eastAsia="Arial" w:cs="Arial"/>
                <w:b/>
                <w:bCs/>
                <w:color w:val="FFFFFF"/>
                <w:sz w:val="20"/>
                <w:szCs w:val="20"/>
              </w:rPr>
              <w:t>Primary Need</w:t>
            </w:r>
          </w:p>
        </w:tc>
        <w:tc>
          <w:tcPr>
            <w:tcW w:w="468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1BCF44B0">
            <w:pPr>
              <w:jc w:val="center"/>
            </w:pPr>
            <w:r>
              <w:rPr>
                <w:rFonts w:ascii="Arial" w:hAnsi="Arial" w:eastAsia="Arial" w:cs="Arial"/>
                <w:b/>
                <w:bCs/>
                <w:color w:val="FFFFFF"/>
                <w:sz w:val="20"/>
                <w:szCs w:val="20"/>
              </w:rPr>
              <w:t>FinGuard Module Addressing Need</w:t>
            </w:r>
          </w:p>
        </w:tc>
      </w:tr>
      <w:tr w14:paraId="5D97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616E947">
            <w:r>
              <w:rPr>
                <w:rFonts w:ascii="Arial" w:hAnsi="Arial" w:eastAsia="Arial" w:cs="Arial"/>
                <w:color w:val="4A4A4A"/>
                <w:sz w:val="20"/>
                <w:szCs w:val="20"/>
              </w:rPr>
              <w:t>Banks &amp; NBFCs</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EB7AB1E">
            <w:r>
              <w:rPr>
                <w:rFonts w:ascii="Arial" w:hAnsi="Arial" w:eastAsia="Arial" w:cs="Arial"/>
                <w:color w:val="4A4A4A"/>
                <w:sz w:val="20"/>
                <w:szCs w:val="20"/>
              </w:rPr>
              <w:t>Real-time automated loan decisioning</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19B25756">
            <w:r>
              <w:rPr>
                <w:rFonts w:ascii="Arial" w:hAnsi="Arial" w:eastAsia="Arial" w:cs="Arial"/>
                <w:color w:val="4A4A4A"/>
                <w:sz w:val="20"/>
                <w:szCs w:val="20"/>
              </w:rPr>
              <w:t>Credit Profiling Engine (Module C)</w:t>
            </w:r>
          </w:p>
        </w:tc>
      </w:tr>
      <w:tr w14:paraId="4036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0BF924C7">
            <w:r>
              <w:rPr>
                <w:rFonts w:ascii="Arial" w:hAnsi="Arial" w:eastAsia="Arial" w:cs="Arial"/>
                <w:color w:val="4A4A4A"/>
                <w:sz w:val="20"/>
                <w:szCs w:val="20"/>
              </w:rPr>
              <w:t>Fraud Investigation Teams</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CF8BA3A">
            <w:r>
              <w:rPr>
                <w:rFonts w:ascii="Arial" w:hAnsi="Arial" w:eastAsia="Arial" w:cs="Arial"/>
                <w:color w:val="4A4A4A"/>
                <w:sz w:val="20"/>
                <w:szCs w:val="20"/>
              </w:rPr>
              <w:t>Pre-disbursement anomaly flagging</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46B2E61">
            <w:r>
              <w:rPr>
                <w:rFonts w:ascii="Arial" w:hAnsi="Arial" w:eastAsia="Arial" w:cs="Arial"/>
                <w:color w:val="4A4A4A"/>
                <w:sz w:val="20"/>
                <w:szCs w:val="20"/>
              </w:rPr>
              <w:t>Fraud Detection &amp; Anomaly Engine (Module B)</w:t>
            </w:r>
          </w:p>
        </w:tc>
      </w:tr>
      <w:tr w14:paraId="2108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7499536">
            <w:r>
              <w:rPr>
                <w:rFonts w:ascii="Arial" w:hAnsi="Arial" w:eastAsia="Arial" w:cs="Arial"/>
                <w:color w:val="4A4A4A"/>
                <w:sz w:val="20"/>
                <w:szCs w:val="20"/>
              </w:rPr>
              <w:t>Compliance &amp; Audit Depts.</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C9151F1">
            <w:r>
              <w:rPr>
                <w:rFonts w:ascii="Arial" w:hAnsi="Arial" w:eastAsia="Arial" w:cs="Arial"/>
                <w:color w:val="4A4A4A"/>
                <w:sz w:val="20"/>
                <w:szCs w:val="20"/>
              </w:rPr>
              <w:t>AML screening and regulatory reporting</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1BD6D316">
            <w:r>
              <w:rPr>
                <w:rFonts w:ascii="Arial" w:hAnsi="Arial" w:eastAsia="Arial" w:cs="Arial"/>
                <w:color w:val="4A4A4A"/>
                <w:sz w:val="20"/>
                <w:szCs w:val="20"/>
              </w:rPr>
              <w:t>Risk &amp; Compliance Dashboard (Module D)</w:t>
            </w:r>
          </w:p>
        </w:tc>
      </w:tr>
      <w:tr w14:paraId="31D0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E6317F5">
            <w:r>
              <w:rPr>
                <w:rFonts w:ascii="Arial" w:hAnsi="Arial" w:eastAsia="Arial" w:cs="Arial"/>
                <w:color w:val="4A4A4A"/>
                <w:sz w:val="20"/>
                <w:szCs w:val="20"/>
              </w:rPr>
              <w:t>Risk Management Desks</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56FE7C1">
            <w:r>
              <w:rPr>
                <w:rFonts w:ascii="Arial" w:hAnsi="Arial" w:eastAsia="Arial" w:cs="Arial"/>
                <w:color w:val="4A4A4A"/>
                <w:sz w:val="20"/>
                <w:szCs w:val="20"/>
              </w:rPr>
              <w:t>VaR/CVaR and portfolio stress testing</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7D860C7">
            <w:r>
              <w:rPr>
                <w:rFonts w:ascii="Arial" w:hAnsi="Arial" w:eastAsia="Arial" w:cs="Arial"/>
                <w:color w:val="4A4A4A"/>
                <w:sz w:val="20"/>
                <w:szCs w:val="20"/>
              </w:rPr>
              <w:t>Risk Dashboard + Portfolio Reports (Modules D, E)</w:t>
            </w:r>
          </w:p>
        </w:tc>
      </w:tr>
      <w:tr w14:paraId="42D7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19358E6">
            <w:r>
              <w:rPr>
                <w:rFonts w:ascii="Arial" w:hAnsi="Arial" w:eastAsia="Arial" w:cs="Arial"/>
                <w:color w:val="4A4A4A"/>
                <w:sz w:val="20"/>
                <w:szCs w:val="20"/>
              </w:rPr>
              <w:t>Digital Onboarding Platforms</w:t>
            </w:r>
          </w:p>
        </w:tc>
        <w:tc>
          <w:tcPr>
            <w:tcW w:w="23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C811584">
            <w:r>
              <w:rPr>
                <w:rFonts w:ascii="Arial" w:hAnsi="Arial" w:eastAsia="Arial" w:cs="Arial"/>
                <w:color w:val="4A4A4A"/>
                <w:sz w:val="20"/>
                <w:szCs w:val="20"/>
              </w:rPr>
              <w:t>Automated AI-powered KYC verification</w:t>
            </w:r>
          </w:p>
        </w:tc>
        <w:tc>
          <w:tcPr>
            <w:tcW w:w="468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1154B6F">
            <w:r>
              <w:rPr>
                <w:rFonts w:ascii="Arial" w:hAnsi="Arial" w:eastAsia="Arial" w:cs="Arial"/>
                <w:color w:val="4A4A4A"/>
                <w:sz w:val="20"/>
                <w:szCs w:val="20"/>
              </w:rPr>
              <w:t>KYC Verification Engine (Module E)</w:t>
            </w:r>
          </w:p>
        </w:tc>
      </w:tr>
      <w:tr w14:paraId="204A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1D8D926">
            <w:r>
              <w:rPr>
                <w:rFonts w:ascii="Arial" w:hAnsi="Arial" w:eastAsia="Arial" w:cs="Arial"/>
                <w:color w:val="4A4A4A"/>
                <w:sz w:val="20"/>
                <w:szCs w:val="20"/>
              </w:rPr>
              <w:t>Portfolio Analytics Teams</w:t>
            </w:r>
          </w:p>
        </w:tc>
        <w:tc>
          <w:tcPr>
            <w:tcW w:w="23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5A1C6AC">
            <w:r>
              <w:rPr>
                <w:rFonts w:ascii="Arial" w:hAnsi="Arial" w:eastAsia="Arial" w:cs="Arial"/>
                <w:color w:val="4A4A4A"/>
                <w:sz w:val="20"/>
                <w:szCs w:val="20"/>
              </w:rPr>
              <w:t>Borrower segmentation and default tracking</w:t>
            </w:r>
          </w:p>
        </w:tc>
        <w:tc>
          <w:tcPr>
            <w:tcW w:w="468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965745F">
            <w:r>
              <w:rPr>
                <w:rFonts w:ascii="Arial" w:hAnsi="Arial" w:eastAsia="Arial" w:cs="Arial"/>
                <w:color w:val="4A4A4A"/>
                <w:sz w:val="20"/>
                <w:szCs w:val="20"/>
              </w:rPr>
              <w:t>Financial Analytics EDA + Portfolio (Modules A, E)</w:t>
            </w:r>
          </w:p>
        </w:tc>
      </w:tr>
    </w:tbl>
    <w:p w14:paraId="5098EB7E">
      <w:pPr>
        <w:spacing w:before="120" w:after="0"/>
      </w:pPr>
    </w:p>
    <w:p w14:paraId="45DE85C6">
      <w:pPr>
        <w:pStyle w:val="3"/>
        <w:spacing w:before="280" w:after="120"/>
      </w:pPr>
      <w:r>
        <w:rPr>
          <w:rFonts w:ascii="Arial" w:hAnsi="Arial" w:eastAsia="Arial" w:cs="Arial"/>
          <w:b/>
          <w:bCs/>
          <w:color w:val="2E5FA3"/>
          <w:sz w:val="26"/>
          <w:szCs w:val="26"/>
        </w:rPr>
        <w:t>8.2  Detailed Use Case: Automated Retail Loan Decisioning</w:t>
      </w:r>
    </w:p>
    <w:p w14:paraId="7B4D9371">
      <w:pPr>
        <w:spacing w:before="60" w:after="80"/>
      </w:pPr>
      <w:r>
        <w:rPr>
          <w:rFonts w:ascii="Arial" w:hAnsi="Arial" w:eastAsia="Arial" w:cs="Arial"/>
          <w:color w:val="4A4A4A"/>
          <w:sz w:val="22"/>
          <w:szCs w:val="22"/>
        </w:rPr>
        <w:t>A bank's retail lending desk receives a loan application from a new customer. The loan officer enters the applicant's details into FinGuard's Credit Profiling Engine: annual income ₹8,50,000, age 34, employment status salaried, loan grade B, loan purpose home renovation, requested amount ₹2,50,000, DTI ratio 35.7%.</w:t>
      </w:r>
    </w:p>
    <w:p w14:paraId="5C3BA6F3">
      <w:pPr>
        <w:spacing w:before="60" w:after="0"/>
      </w:pPr>
    </w:p>
    <w:p w14:paraId="55B0A5E1">
      <w:pPr>
        <w:spacing w:before="60" w:after="80"/>
      </w:pPr>
      <w:r>
        <w:rPr>
          <w:rFonts w:ascii="Arial" w:hAnsi="Arial" w:eastAsia="Arial" w:cs="Arial"/>
          <w:color w:val="4A4A4A"/>
          <w:sz w:val="22"/>
          <w:szCs w:val="22"/>
        </w:rPr>
        <w:t>The Random Forest model processes the inputs and returns a credit score of 850 (APPROVED) with 0% predicted default probability and an Expected Loss of ₹892. The system simultaneously triggers the AML engine which returns a LOW risk score of 18/100. The KYC module validates the applicant's PAN card and selfie with a confidence score of 94%. The loan officer reviews the APPROVED decision and the full risk breakdown, then proceeds to disbursement — all within 90 seconds.</w:t>
      </w:r>
    </w:p>
    <w:p w14:paraId="2971D570">
      <w:pPr>
        <w:spacing w:before="120" w:after="0"/>
      </w:pPr>
    </w:p>
    <w:p w14:paraId="703C47CD">
      <w:pPr>
        <w:pStyle w:val="3"/>
        <w:spacing w:before="280" w:after="120"/>
      </w:pPr>
      <w:r>
        <w:rPr>
          <w:rFonts w:ascii="Arial" w:hAnsi="Arial" w:eastAsia="Arial" w:cs="Arial"/>
          <w:b/>
          <w:bCs/>
          <w:color w:val="2E5FA3"/>
          <w:sz w:val="26"/>
          <w:szCs w:val="26"/>
        </w:rPr>
        <w:t>8.3  Detailed Use Case: Portfolio Stress Testing</w:t>
      </w:r>
    </w:p>
    <w:p w14:paraId="5D18F492">
      <w:pPr>
        <w:spacing w:before="60" w:after="80"/>
      </w:pPr>
      <w:r>
        <w:rPr>
          <w:rFonts w:ascii="Arial" w:hAnsi="Arial" w:eastAsia="Arial" w:cs="Arial"/>
          <w:color w:val="4A4A4A"/>
          <w:sz w:val="22"/>
          <w:szCs w:val="22"/>
        </w:rPr>
        <w:t>The risk management desk of an NBFC needs to determine capital provisioning requirements for their lending portfolio of 50 active loans with total exposure of ₹12.8 lakh ahead of a quarterly regulatory review.</w:t>
      </w:r>
    </w:p>
    <w:p w14:paraId="77F8FB8A">
      <w:pPr>
        <w:spacing w:before="60" w:after="0"/>
      </w:pPr>
    </w:p>
    <w:p w14:paraId="5A917D98">
      <w:pPr>
        <w:spacing w:before="60" w:after="80"/>
      </w:pPr>
      <w:r>
        <w:rPr>
          <w:rFonts w:ascii="Arial" w:hAnsi="Arial" w:eastAsia="Arial" w:cs="Arial"/>
          <w:color w:val="4A4A4A"/>
          <w:sz w:val="22"/>
          <w:szCs w:val="22"/>
        </w:rPr>
        <w:t>The risk analyst opens the Portfolio Reports module and runs the four-level stress test. The Base Case scenario shows a capital requirement of ₹2.1 lakh. The Mild Recession scenario increases this to ₹4.3 lakh. The Moderate Stress scenario requires ₹6.5 lakh. The Severe Crisis scenario requires ₹8.93 lakh. The analyst exports the full portfolio PDF report and submits it to the regulator — completing a process that previously required two days of manual Excel modelling in under 10 minutes.</w:t>
      </w:r>
    </w:p>
    <w:p w14:paraId="4FE7C785">
      <w:r>
        <w:br w:type="page"/>
      </w:r>
    </w:p>
    <w:p w14:paraId="7B02EC28">
      <w:pPr>
        <w:shd w:val="clear" w:fill="1B3A6B"/>
        <w:spacing w:before="300" w:after="100"/>
      </w:pPr>
      <w:r>
        <w:rPr>
          <w:rFonts w:ascii="Arial" w:hAnsi="Arial" w:eastAsia="Arial" w:cs="Arial"/>
          <w:b/>
          <w:bCs/>
          <w:color w:val="00D4FF"/>
          <w:sz w:val="28"/>
          <w:szCs w:val="28"/>
        </w:rPr>
        <w:t xml:space="preserve">  9  </w:t>
      </w:r>
      <w:r>
        <w:rPr>
          <w:rFonts w:ascii="Arial" w:hAnsi="Arial" w:eastAsia="Arial" w:cs="Arial"/>
          <w:b/>
          <w:bCs/>
          <w:color w:val="FFFFFF"/>
          <w:sz w:val="28"/>
          <w:szCs w:val="28"/>
        </w:rPr>
        <w:t>Future Scope — Phase 2 Roadmap</w:t>
      </w:r>
    </w:p>
    <w:p w14:paraId="536DE696">
      <w:pPr>
        <w:spacing w:before="100" w:after="0"/>
      </w:pPr>
    </w:p>
    <w:p w14:paraId="305371A0">
      <w:pPr>
        <w:pStyle w:val="3"/>
        <w:spacing w:before="280" w:after="120"/>
      </w:pPr>
      <w:r>
        <w:rPr>
          <w:rFonts w:ascii="Arial" w:hAnsi="Arial" w:eastAsia="Arial" w:cs="Arial"/>
          <w:b/>
          <w:bCs/>
          <w:color w:val="2E5FA3"/>
          <w:sz w:val="26"/>
          <w:szCs w:val="26"/>
        </w:rPr>
        <w:t>9.1  Planned Enhancements</w:t>
      </w:r>
    </w:p>
    <w:p w14:paraId="509CE56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60"/>
        <w:gridCol w:w="5400"/>
      </w:tblGrid>
      <w:tr w14:paraId="3D39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66A07465">
            <w:pPr>
              <w:jc w:val="center"/>
            </w:pPr>
            <w:r>
              <w:rPr>
                <w:rFonts w:ascii="Arial" w:hAnsi="Arial" w:eastAsia="Arial" w:cs="Arial"/>
                <w:b/>
                <w:bCs/>
                <w:color w:val="FFFFFF"/>
                <w:sz w:val="20"/>
                <w:szCs w:val="20"/>
              </w:rPr>
              <w:t>#</w:t>
            </w:r>
          </w:p>
        </w:tc>
        <w:tc>
          <w:tcPr>
            <w:tcW w:w="32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7CB30482">
            <w:pPr>
              <w:jc w:val="center"/>
            </w:pPr>
            <w:r>
              <w:rPr>
                <w:rFonts w:ascii="Arial" w:hAnsi="Arial" w:eastAsia="Arial" w:cs="Arial"/>
                <w:b/>
                <w:bCs/>
                <w:color w:val="FFFFFF"/>
                <w:sz w:val="20"/>
                <w:szCs w:val="20"/>
              </w:rPr>
              <w:t>Enhancement</w:t>
            </w:r>
          </w:p>
        </w:tc>
        <w:tc>
          <w:tcPr>
            <w:tcW w:w="54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90119FE">
            <w:pPr>
              <w:jc w:val="center"/>
            </w:pPr>
            <w:r>
              <w:rPr>
                <w:rFonts w:ascii="Arial" w:hAnsi="Arial" w:eastAsia="Arial" w:cs="Arial"/>
                <w:b/>
                <w:bCs/>
                <w:color w:val="FFFFFF"/>
                <w:sz w:val="20"/>
                <w:szCs w:val="20"/>
              </w:rPr>
              <w:t>Business Value</w:t>
            </w:r>
          </w:p>
        </w:tc>
      </w:tr>
      <w:tr w14:paraId="5766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F13CA51">
            <w:r>
              <w:rPr>
                <w:rFonts w:ascii="Arial" w:hAnsi="Arial" w:eastAsia="Arial" w:cs="Arial"/>
                <w:color w:val="4A4A4A"/>
                <w:sz w:val="20"/>
                <w:szCs w:val="20"/>
              </w:rPr>
              <w:t>1</w:t>
            </w:r>
          </w:p>
        </w:tc>
        <w:tc>
          <w:tcPr>
            <w:tcW w:w="32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3620B06">
            <w:r>
              <w:rPr>
                <w:rFonts w:ascii="Arial" w:hAnsi="Arial" w:eastAsia="Arial" w:cs="Arial"/>
                <w:color w:val="4A4A4A"/>
                <w:sz w:val="20"/>
                <w:szCs w:val="20"/>
              </w:rPr>
              <w:t>LSTM Time-Series Default Prediction</w:t>
            </w:r>
          </w:p>
        </w:tc>
        <w:tc>
          <w:tcPr>
            <w:tcW w:w="5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192037CE">
            <w:r>
              <w:rPr>
                <w:rFonts w:ascii="Arial" w:hAnsi="Arial" w:eastAsia="Arial" w:cs="Arial"/>
                <w:color w:val="4A4A4A"/>
                <w:sz w:val="20"/>
                <w:szCs w:val="20"/>
              </w:rPr>
              <w:t>Captures temporal patterns in borrower behaviour, improving default prediction accuracy for revolving credit products.</w:t>
            </w:r>
          </w:p>
        </w:tc>
      </w:tr>
      <w:tr w14:paraId="76F0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2C09F77">
            <w:r>
              <w:rPr>
                <w:rFonts w:ascii="Arial" w:hAnsi="Arial" w:eastAsia="Arial" w:cs="Arial"/>
                <w:color w:val="4A4A4A"/>
                <w:sz w:val="20"/>
                <w:szCs w:val="20"/>
              </w:rPr>
              <w:t>2</w:t>
            </w:r>
          </w:p>
        </w:tc>
        <w:tc>
          <w:tcPr>
            <w:tcW w:w="32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BB12CA2">
            <w:r>
              <w:rPr>
                <w:rFonts w:ascii="Arial" w:hAnsi="Arial" w:eastAsia="Arial" w:cs="Arial"/>
                <w:color w:val="4A4A4A"/>
                <w:sz w:val="20"/>
                <w:szCs w:val="20"/>
              </w:rPr>
              <w:t>Real-Time Transaction Monitoring</w:t>
            </w:r>
          </w:p>
        </w:tc>
        <w:tc>
          <w:tcPr>
            <w:tcW w:w="54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23CB559">
            <w:r>
              <w:rPr>
                <w:rFonts w:ascii="Arial" w:hAnsi="Arial" w:eastAsia="Arial" w:cs="Arial"/>
                <w:color w:val="4A4A4A"/>
                <w:sz w:val="20"/>
                <w:szCs w:val="20"/>
              </w:rPr>
              <w:t>Enables continuous post-disbursement monitoring of borrower financial behaviour via streaming data pipelines.</w:t>
            </w:r>
          </w:p>
        </w:tc>
      </w:tr>
      <w:tr w14:paraId="1A40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D0F8558">
            <w:r>
              <w:rPr>
                <w:rFonts w:ascii="Arial" w:hAnsi="Arial" w:eastAsia="Arial" w:cs="Arial"/>
                <w:color w:val="4A4A4A"/>
                <w:sz w:val="20"/>
                <w:szCs w:val="20"/>
              </w:rPr>
              <w:t>3</w:t>
            </w:r>
          </w:p>
        </w:tc>
        <w:tc>
          <w:tcPr>
            <w:tcW w:w="32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01FA763">
            <w:r>
              <w:rPr>
                <w:rFonts w:ascii="Arial" w:hAnsi="Arial" w:eastAsia="Arial" w:cs="Arial"/>
                <w:color w:val="4A4A4A"/>
                <w:sz w:val="20"/>
                <w:szCs w:val="20"/>
              </w:rPr>
              <w:t>Bank Statement OCR + NLP Parser</w:t>
            </w:r>
          </w:p>
        </w:tc>
        <w:tc>
          <w:tcPr>
            <w:tcW w:w="5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6D3ADF4">
            <w:r>
              <w:rPr>
                <w:rFonts w:ascii="Arial" w:hAnsi="Arial" w:eastAsia="Arial" w:cs="Arial"/>
                <w:color w:val="4A4A4A"/>
                <w:sz w:val="20"/>
                <w:szCs w:val="20"/>
              </w:rPr>
              <w:t>Automates income and expense verification from uploaded bank statements, reducing reliance on declared income figures.</w:t>
            </w:r>
          </w:p>
        </w:tc>
      </w:tr>
      <w:tr w14:paraId="7D57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2959F7E">
            <w:r>
              <w:rPr>
                <w:rFonts w:ascii="Arial" w:hAnsi="Arial" w:eastAsia="Arial" w:cs="Arial"/>
                <w:color w:val="4A4A4A"/>
                <w:sz w:val="20"/>
                <w:szCs w:val="20"/>
              </w:rPr>
              <w:t>4</w:t>
            </w:r>
          </w:p>
        </w:tc>
        <w:tc>
          <w:tcPr>
            <w:tcW w:w="32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871C106">
            <w:r>
              <w:rPr>
                <w:rFonts w:ascii="Arial" w:hAnsi="Arial" w:eastAsia="Arial" w:cs="Arial"/>
                <w:color w:val="4A4A4A"/>
                <w:sz w:val="20"/>
                <w:szCs w:val="20"/>
              </w:rPr>
              <w:t>Credit Bureau API Integration (CIBIL/Experian)</w:t>
            </w:r>
          </w:p>
        </w:tc>
        <w:tc>
          <w:tcPr>
            <w:tcW w:w="54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2644C24">
            <w:r>
              <w:rPr>
                <w:rFonts w:ascii="Arial" w:hAnsi="Arial" w:eastAsia="Arial" w:cs="Arial"/>
                <w:color w:val="4A4A4A"/>
                <w:sz w:val="20"/>
                <w:szCs w:val="20"/>
              </w:rPr>
              <w:t>Enriches credit profiles with official bureau scores, thinfile resolution, and tradeline history.</w:t>
            </w:r>
          </w:p>
        </w:tc>
      </w:tr>
      <w:tr w14:paraId="19C4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BC56AF1">
            <w:r>
              <w:rPr>
                <w:rFonts w:ascii="Arial" w:hAnsi="Arial" w:eastAsia="Arial" w:cs="Arial"/>
                <w:color w:val="4A4A4A"/>
                <w:sz w:val="20"/>
                <w:szCs w:val="20"/>
              </w:rPr>
              <w:t>5</w:t>
            </w:r>
          </w:p>
        </w:tc>
        <w:tc>
          <w:tcPr>
            <w:tcW w:w="32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B0233D1">
            <w:r>
              <w:rPr>
                <w:rFonts w:ascii="Arial" w:hAnsi="Arial" w:eastAsia="Arial" w:cs="Arial"/>
                <w:color w:val="4A4A4A"/>
                <w:sz w:val="20"/>
                <w:szCs w:val="20"/>
              </w:rPr>
              <w:t>WhatsApp / SMS Loan Status Bot</w:t>
            </w:r>
          </w:p>
        </w:tc>
        <w:tc>
          <w:tcPr>
            <w:tcW w:w="5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5D09DDD">
            <w:r>
              <w:rPr>
                <w:rFonts w:ascii="Arial" w:hAnsi="Arial" w:eastAsia="Arial" w:cs="Arial"/>
                <w:color w:val="4A4A4A"/>
                <w:sz w:val="20"/>
                <w:szCs w:val="20"/>
              </w:rPr>
              <w:t>Enables borrowers to receive loan status updates and document requests via messaging channels, improving customer experience.</w:t>
            </w:r>
          </w:p>
        </w:tc>
      </w:tr>
      <w:tr w14:paraId="17B9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7FBCDA5B">
            <w:r>
              <w:rPr>
                <w:rFonts w:ascii="Arial" w:hAnsi="Arial" w:eastAsia="Arial" w:cs="Arial"/>
                <w:color w:val="4A4A4A"/>
                <w:sz w:val="20"/>
                <w:szCs w:val="20"/>
              </w:rPr>
              <w:t>6</w:t>
            </w:r>
          </w:p>
        </w:tc>
        <w:tc>
          <w:tcPr>
            <w:tcW w:w="32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4667831">
            <w:r>
              <w:rPr>
                <w:rFonts w:ascii="Arial" w:hAnsi="Arial" w:eastAsia="Arial" w:cs="Arial"/>
                <w:color w:val="4A4A4A"/>
                <w:sz w:val="20"/>
                <w:szCs w:val="20"/>
              </w:rPr>
              <w:t>Multi-Language Support</w:t>
            </w:r>
          </w:p>
        </w:tc>
        <w:tc>
          <w:tcPr>
            <w:tcW w:w="54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3F1182CC">
            <w:r>
              <w:rPr>
                <w:rFonts w:ascii="Arial" w:hAnsi="Arial" w:eastAsia="Arial" w:cs="Arial"/>
                <w:color w:val="4A4A4A"/>
                <w:sz w:val="20"/>
                <w:szCs w:val="20"/>
              </w:rPr>
              <w:t>Extends platform reach to rural and semi-urban borrowers through vernacular language interfaces.</w:t>
            </w:r>
          </w:p>
        </w:tc>
      </w:tr>
      <w:tr w14:paraId="6E9D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D0E9577">
            <w:r>
              <w:rPr>
                <w:rFonts w:ascii="Arial" w:hAnsi="Arial" w:eastAsia="Arial" w:cs="Arial"/>
                <w:color w:val="4A4A4A"/>
                <w:sz w:val="20"/>
                <w:szCs w:val="20"/>
              </w:rPr>
              <w:t>7</w:t>
            </w:r>
          </w:p>
        </w:tc>
        <w:tc>
          <w:tcPr>
            <w:tcW w:w="32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5EDEB2F">
            <w:r>
              <w:rPr>
                <w:rFonts w:ascii="Arial" w:hAnsi="Arial" w:eastAsia="Arial" w:cs="Arial"/>
                <w:color w:val="4A4A4A"/>
                <w:sz w:val="20"/>
                <w:szCs w:val="20"/>
              </w:rPr>
              <w:t>SHAP / LIME Explainability Layer</w:t>
            </w:r>
          </w:p>
        </w:tc>
        <w:tc>
          <w:tcPr>
            <w:tcW w:w="54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D5D7D4A">
            <w:r>
              <w:rPr>
                <w:rFonts w:ascii="Arial" w:hAnsi="Arial" w:eastAsia="Arial" w:cs="Arial"/>
                <w:color w:val="4A4A4A"/>
                <w:sz w:val="20"/>
                <w:szCs w:val="20"/>
              </w:rPr>
              <w:t>Provides per-decision AI explanations for underwriters, borrowers, and regulators — a requirement under emerging RBI AI governance frameworks.</w:t>
            </w:r>
          </w:p>
        </w:tc>
      </w:tr>
    </w:tbl>
    <w:p w14:paraId="10DC348F">
      <w:r>
        <w:br w:type="page"/>
      </w:r>
    </w:p>
    <w:p w14:paraId="384EFADA">
      <w:pPr>
        <w:shd w:val="clear" w:fill="1B3A6B"/>
        <w:spacing w:before="300" w:after="100"/>
      </w:pPr>
      <w:r>
        <w:rPr>
          <w:rFonts w:ascii="Arial" w:hAnsi="Arial" w:eastAsia="Arial" w:cs="Arial"/>
          <w:b/>
          <w:bCs/>
          <w:color w:val="00D4FF"/>
          <w:sz w:val="28"/>
          <w:szCs w:val="28"/>
        </w:rPr>
        <w:t xml:space="preserve">  10  </w:t>
      </w:r>
      <w:r>
        <w:rPr>
          <w:rFonts w:ascii="Arial" w:hAnsi="Arial" w:eastAsia="Arial" w:cs="Arial"/>
          <w:b/>
          <w:bCs/>
          <w:color w:val="FFFFFF"/>
          <w:sz w:val="28"/>
          <w:szCs w:val="28"/>
        </w:rPr>
        <w:t>Risks, Assumptions &amp; Constraints</w:t>
      </w:r>
    </w:p>
    <w:p w14:paraId="0B36F0A6">
      <w:pPr>
        <w:spacing w:before="100" w:after="0"/>
      </w:pPr>
    </w:p>
    <w:p w14:paraId="5ABD377E">
      <w:pPr>
        <w:pStyle w:val="3"/>
        <w:spacing w:before="280" w:after="120"/>
      </w:pPr>
      <w:r>
        <w:rPr>
          <w:rFonts w:ascii="Arial" w:hAnsi="Arial" w:eastAsia="Arial" w:cs="Arial"/>
          <w:b/>
          <w:bCs/>
          <w:color w:val="2E5FA3"/>
          <w:sz w:val="26"/>
          <w:szCs w:val="26"/>
        </w:rPr>
        <w:t>10.1  Project Risks</w:t>
      </w:r>
    </w:p>
    <w:p w14:paraId="75220D8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60"/>
        <w:gridCol w:w="1560"/>
        <w:gridCol w:w="3640"/>
      </w:tblGrid>
      <w:tr w14:paraId="2504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2B370F78">
            <w:pPr>
              <w:jc w:val="center"/>
            </w:pPr>
            <w:r>
              <w:rPr>
                <w:rFonts w:ascii="Arial" w:hAnsi="Arial" w:eastAsia="Arial" w:cs="Arial"/>
                <w:b/>
                <w:bCs/>
                <w:color w:val="FFFFFF"/>
                <w:sz w:val="20"/>
                <w:szCs w:val="20"/>
              </w:rPr>
              <w:t>Risk</w:t>
            </w:r>
          </w:p>
        </w:tc>
        <w:tc>
          <w:tcPr>
            <w:tcW w:w="15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72186472">
            <w:pPr>
              <w:jc w:val="center"/>
            </w:pPr>
            <w:r>
              <w:rPr>
                <w:rFonts w:ascii="Arial" w:hAnsi="Arial" w:eastAsia="Arial" w:cs="Arial"/>
                <w:b/>
                <w:bCs/>
                <w:color w:val="FFFFFF"/>
                <w:sz w:val="20"/>
                <w:szCs w:val="20"/>
              </w:rPr>
              <w:t>Likelihood</w:t>
            </w:r>
          </w:p>
        </w:tc>
        <w:tc>
          <w:tcPr>
            <w:tcW w:w="156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1ED677F8">
            <w:pPr>
              <w:jc w:val="center"/>
            </w:pPr>
            <w:r>
              <w:rPr>
                <w:rFonts w:ascii="Arial" w:hAnsi="Arial" w:eastAsia="Arial" w:cs="Arial"/>
                <w:b/>
                <w:bCs/>
                <w:color w:val="FFFFFF"/>
                <w:sz w:val="20"/>
                <w:szCs w:val="20"/>
              </w:rPr>
              <w:t>Impact</w:t>
            </w:r>
          </w:p>
        </w:tc>
        <w:tc>
          <w:tcPr>
            <w:tcW w:w="3640" w:type="dxa"/>
            <w:tcBorders>
              <w:top w:val="single" w:color="C5D5E8" w:sz="0" w:space="0"/>
              <w:left w:val="single" w:color="C5D5E8" w:sz="0" w:space="0"/>
              <w:bottom w:val="single" w:color="C5D5E8" w:sz="0" w:space="0"/>
              <w:right w:val="single" w:color="C5D5E8" w:sz="0" w:space="0"/>
            </w:tcBorders>
            <w:shd w:val="clear" w:color="auto" w:fill="1B3A6B"/>
            <w:tcMar>
              <w:top w:w="100" w:type="dxa"/>
              <w:left w:w="120" w:type="dxa"/>
              <w:bottom w:w="100" w:type="dxa"/>
              <w:right w:w="120" w:type="dxa"/>
            </w:tcMar>
            <w:vAlign w:val="center"/>
          </w:tcPr>
          <w:p w14:paraId="03ACE10A">
            <w:pPr>
              <w:jc w:val="center"/>
            </w:pPr>
            <w:r>
              <w:rPr>
                <w:rFonts w:ascii="Arial" w:hAnsi="Arial" w:eastAsia="Arial" w:cs="Arial"/>
                <w:b/>
                <w:bCs/>
                <w:color w:val="FFFFFF"/>
                <w:sz w:val="20"/>
                <w:szCs w:val="20"/>
              </w:rPr>
              <w:t>Mitigation</w:t>
            </w:r>
          </w:p>
        </w:tc>
      </w:tr>
      <w:tr w14:paraId="142D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E2FEB9E">
            <w:r>
              <w:rPr>
                <w:rFonts w:ascii="Arial" w:hAnsi="Arial" w:eastAsia="Arial" w:cs="Arial"/>
                <w:color w:val="4A4A4A"/>
                <w:sz w:val="20"/>
                <w:szCs w:val="20"/>
              </w:rPr>
              <w:t>Model accuracy degradation on production data</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CF092D6">
            <w:r>
              <w:rPr>
                <w:rFonts w:ascii="Arial" w:hAnsi="Arial" w:eastAsia="Arial" w:cs="Arial"/>
                <w:color w:val="4A4A4A"/>
                <w:sz w:val="20"/>
                <w:szCs w:val="20"/>
              </w:rPr>
              <w:t>Medium</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ED5C5A1">
            <w:r>
              <w:rPr>
                <w:rFonts w:ascii="Arial" w:hAnsi="Arial" w:eastAsia="Arial" w:cs="Arial"/>
                <w:color w:val="4A4A4A"/>
                <w:sz w:val="20"/>
                <w:szCs w:val="20"/>
              </w:rPr>
              <w:t>High</w:t>
            </w:r>
          </w:p>
        </w:tc>
        <w:tc>
          <w:tcPr>
            <w:tcW w:w="36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3609DCF">
            <w:r>
              <w:rPr>
                <w:rFonts w:ascii="Arial" w:hAnsi="Arial" w:eastAsia="Arial" w:cs="Arial"/>
                <w:color w:val="4A4A4A"/>
                <w:sz w:val="20"/>
                <w:szCs w:val="20"/>
              </w:rPr>
              <w:t>Periodic retraining on production data; accuracy monitoring with 85% floor threshold.</w:t>
            </w:r>
          </w:p>
        </w:tc>
      </w:tr>
      <w:tr w14:paraId="38D8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86442F7">
            <w:r>
              <w:rPr>
                <w:rFonts w:ascii="Arial" w:hAnsi="Arial" w:eastAsia="Arial" w:cs="Arial"/>
                <w:color w:val="4A4A4A"/>
                <w:sz w:val="20"/>
                <w:szCs w:val="20"/>
              </w:rPr>
              <w:t>YOLO KYC model misclassification of identity documents</w:t>
            </w:r>
          </w:p>
        </w:tc>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1F3A23E">
            <w:r>
              <w:rPr>
                <w:rFonts w:ascii="Arial" w:hAnsi="Arial" w:eastAsia="Arial" w:cs="Arial"/>
                <w:color w:val="4A4A4A"/>
                <w:sz w:val="20"/>
                <w:szCs w:val="20"/>
              </w:rPr>
              <w:t>Low</w:t>
            </w:r>
          </w:p>
        </w:tc>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742A344">
            <w:r>
              <w:rPr>
                <w:rFonts w:ascii="Arial" w:hAnsi="Arial" w:eastAsia="Arial" w:cs="Arial"/>
                <w:color w:val="4A4A4A"/>
                <w:sz w:val="20"/>
                <w:szCs w:val="20"/>
              </w:rPr>
              <w:t>High</w:t>
            </w:r>
          </w:p>
        </w:tc>
        <w:tc>
          <w:tcPr>
            <w:tcW w:w="36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5A13C96B">
            <w:r>
              <w:rPr>
                <w:rFonts w:ascii="Arial" w:hAnsi="Arial" w:eastAsia="Arial" w:cs="Arial"/>
                <w:color w:val="4A4A4A"/>
                <w:sz w:val="20"/>
                <w:szCs w:val="20"/>
              </w:rPr>
              <w:t>Confidence score threshold (minimum 80%) required for auto-approval; below threshold triggers manual review.</w:t>
            </w:r>
          </w:p>
        </w:tc>
      </w:tr>
      <w:tr w14:paraId="09D6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7729B5BB">
            <w:r>
              <w:rPr>
                <w:rFonts w:ascii="Arial" w:hAnsi="Arial" w:eastAsia="Arial" w:cs="Arial"/>
                <w:color w:val="4A4A4A"/>
                <w:sz w:val="20"/>
                <w:szCs w:val="20"/>
              </w:rPr>
              <w:t>Regulatory changes to RBI KYC/AML guidelines</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5F546F10">
            <w:r>
              <w:rPr>
                <w:rFonts w:ascii="Arial" w:hAnsi="Arial" w:eastAsia="Arial" w:cs="Arial"/>
                <w:color w:val="4A4A4A"/>
                <w:sz w:val="20"/>
                <w:szCs w:val="20"/>
              </w:rPr>
              <w:t>Medium</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214D66C8">
            <w:r>
              <w:rPr>
                <w:rFonts w:ascii="Arial" w:hAnsi="Arial" w:eastAsia="Arial" w:cs="Arial"/>
                <w:color w:val="4A4A4A"/>
                <w:sz w:val="20"/>
                <w:szCs w:val="20"/>
              </w:rPr>
              <w:t>High</w:t>
            </w:r>
          </w:p>
        </w:tc>
        <w:tc>
          <w:tcPr>
            <w:tcW w:w="36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64F8B36">
            <w:r>
              <w:rPr>
                <w:rFonts w:ascii="Arial" w:hAnsi="Arial" w:eastAsia="Arial" w:cs="Arial"/>
                <w:color w:val="4A4A4A"/>
                <w:sz w:val="20"/>
                <w:szCs w:val="20"/>
              </w:rPr>
              <w:t>Compliance checklist designed as configurable module; updates can be applied without code changes.</w:t>
            </w:r>
          </w:p>
        </w:tc>
      </w:tr>
      <w:tr w14:paraId="0ADF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6F424E4F">
            <w:r>
              <w:rPr>
                <w:rFonts w:ascii="Arial" w:hAnsi="Arial" w:eastAsia="Arial" w:cs="Arial"/>
                <w:color w:val="4A4A4A"/>
                <w:sz w:val="20"/>
                <w:szCs w:val="20"/>
              </w:rPr>
              <w:t>Scalability limits of Streamlit under high concurrency</w:t>
            </w:r>
          </w:p>
        </w:tc>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1BFA3093">
            <w:r>
              <w:rPr>
                <w:rFonts w:ascii="Arial" w:hAnsi="Arial" w:eastAsia="Arial" w:cs="Arial"/>
                <w:color w:val="4A4A4A"/>
                <w:sz w:val="20"/>
                <w:szCs w:val="20"/>
              </w:rPr>
              <w:t>High</w:t>
            </w:r>
          </w:p>
        </w:tc>
        <w:tc>
          <w:tcPr>
            <w:tcW w:w="156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274FCCF7">
            <w:r>
              <w:rPr>
                <w:rFonts w:ascii="Arial" w:hAnsi="Arial" w:eastAsia="Arial" w:cs="Arial"/>
                <w:color w:val="4A4A4A"/>
                <w:sz w:val="20"/>
                <w:szCs w:val="20"/>
              </w:rPr>
              <w:t>Medium</w:t>
            </w:r>
          </w:p>
        </w:tc>
        <w:tc>
          <w:tcPr>
            <w:tcW w:w="3640" w:type="dxa"/>
            <w:tcBorders>
              <w:top w:val="single" w:color="C5D5E8" w:sz="0" w:space="0"/>
              <w:left w:val="single" w:color="C5D5E8" w:sz="0" w:space="0"/>
              <w:bottom w:val="single" w:color="C5D5E8" w:sz="0" w:space="0"/>
              <w:right w:val="single" w:color="C5D5E8" w:sz="0" w:space="0"/>
            </w:tcBorders>
            <w:shd w:val="clear" w:color="auto" w:fill="F2F6FC"/>
            <w:tcMar>
              <w:top w:w="80" w:type="dxa"/>
              <w:left w:w="120" w:type="dxa"/>
              <w:bottom w:w="80" w:type="dxa"/>
              <w:right w:w="120" w:type="dxa"/>
            </w:tcMar>
          </w:tcPr>
          <w:p w14:paraId="4A205BA8">
            <w:r>
              <w:rPr>
                <w:rFonts w:ascii="Arial" w:hAnsi="Arial" w:eastAsia="Arial" w:cs="Arial"/>
                <w:color w:val="4A4A4A"/>
                <w:sz w:val="20"/>
                <w:szCs w:val="20"/>
              </w:rPr>
              <w:t>Phase 2 migration to FastAPI backend with React frontend; horizontal scaling via cloud deployment.</w:t>
            </w:r>
          </w:p>
        </w:tc>
      </w:tr>
      <w:tr w14:paraId="06B9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4D7FAA65">
            <w:r>
              <w:rPr>
                <w:rFonts w:ascii="Arial" w:hAnsi="Arial" w:eastAsia="Arial" w:cs="Arial"/>
                <w:color w:val="4A4A4A"/>
                <w:sz w:val="20"/>
                <w:szCs w:val="20"/>
              </w:rPr>
              <w:t>Data privacy breach via uploaded identity documents</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318D2734">
            <w:r>
              <w:rPr>
                <w:rFonts w:ascii="Arial" w:hAnsi="Arial" w:eastAsia="Arial" w:cs="Arial"/>
                <w:color w:val="4A4A4A"/>
                <w:sz w:val="20"/>
                <w:szCs w:val="20"/>
              </w:rPr>
              <w:t>Low</w:t>
            </w:r>
          </w:p>
        </w:tc>
        <w:tc>
          <w:tcPr>
            <w:tcW w:w="156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0DD58C8B">
            <w:r>
              <w:rPr>
                <w:rFonts w:ascii="Arial" w:hAnsi="Arial" w:eastAsia="Arial" w:cs="Arial"/>
                <w:color w:val="4A4A4A"/>
                <w:sz w:val="20"/>
                <w:szCs w:val="20"/>
              </w:rPr>
              <w:t>Critical</w:t>
            </w:r>
          </w:p>
        </w:tc>
        <w:tc>
          <w:tcPr>
            <w:tcW w:w="3640" w:type="dxa"/>
            <w:tcBorders>
              <w:top w:val="single" w:color="C5D5E8" w:sz="0" w:space="0"/>
              <w:left w:val="single" w:color="C5D5E8" w:sz="0" w:space="0"/>
              <w:bottom w:val="single" w:color="C5D5E8" w:sz="0" w:space="0"/>
              <w:right w:val="single" w:color="C5D5E8" w:sz="0" w:space="0"/>
            </w:tcBorders>
            <w:shd w:val="clear" w:color="auto" w:fill="FFFFFF"/>
            <w:tcMar>
              <w:top w:w="80" w:type="dxa"/>
              <w:left w:w="120" w:type="dxa"/>
              <w:bottom w:w="80" w:type="dxa"/>
              <w:right w:w="120" w:type="dxa"/>
            </w:tcMar>
          </w:tcPr>
          <w:p w14:paraId="64990C05">
            <w:r>
              <w:rPr>
                <w:rFonts w:ascii="Arial" w:hAnsi="Arial" w:eastAsia="Arial" w:cs="Arial"/>
                <w:color w:val="4A4A4A"/>
                <w:sz w:val="20"/>
                <w:szCs w:val="20"/>
              </w:rPr>
              <w:t>Session-scoped document handling; no persistent storage of biometric or ID data without consent.</w:t>
            </w:r>
          </w:p>
        </w:tc>
      </w:tr>
    </w:tbl>
    <w:p w14:paraId="35B4FF67">
      <w:pPr>
        <w:spacing w:before="120" w:after="0"/>
      </w:pPr>
    </w:p>
    <w:p w14:paraId="32DFED2B">
      <w:pPr>
        <w:pStyle w:val="3"/>
        <w:spacing w:before="280" w:after="120"/>
      </w:pPr>
      <w:r>
        <w:rPr>
          <w:rFonts w:ascii="Arial" w:hAnsi="Arial" w:eastAsia="Arial" w:cs="Arial"/>
          <w:b/>
          <w:bCs/>
          <w:color w:val="2E5FA3"/>
          <w:sz w:val="26"/>
          <w:szCs w:val="26"/>
        </w:rPr>
        <w:t>10.2  Assumptions</w:t>
      </w:r>
    </w:p>
    <w:p w14:paraId="5EFE5953">
      <w:pPr>
        <w:pStyle w:val="16"/>
        <w:numPr>
          <w:ilvl w:val="0"/>
          <w:numId w:val="1"/>
        </w:numPr>
        <w:spacing w:before="40" w:after="40"/>
      </w:pPr>
      <w:r>
        <w:rPr>
          <w:rFonts w:ascii="Arial" w:hAnsi="Arial" w:eastAsia="Arial" w:cs="Arial"/>
          <w:color w:val="4A4A4A"/>
          <w:sz w:val="22"/>
          <w:szCs w:val="22"/>
        </w:rPr>
        <w:t>The demo dataset of 50 records is representative of the applicant population for model training and testing purposes. Production deployment shall use a significantly larger dataset.</w:t>
      </w:r>
    </w:p>
    <w:p w14:paraId="620256B5">
      <w:pPr>
        <w:pStyle w:val="16"/>
        <w:numPr>
          <w:ilvl w:val="0"/>
          <w:numId w:val="1"/>
        </w:numPr>
        <w:spacing w:before="40" w:after="40"/>
      </w:pPr>
      <w:r>
        <w:rPr>
          <w:rFonts w:ascii="Arial" w:hAnsi="Arial" w:eastAsia="Arial" w:cs="Arial"/>
          <w:color w:val="4A4A4A"/>
          <w:sz w:val="22"/>
          <w:szCs w:val="22"/>
        </w:rPr>
        <w:t>The financial institution deploying FinGuard has obtained all required regulatory approvals to conduct digital lending and automated KYC operations.</w:t>
      </w:r>
    </w:p>
    <w:p w14:paraId="4C080710">
      <w:pPr>
        <w:pStyle w:val="16"/>
        <w:numPr>
          <w:ilvl w:val="0"/>
          <w:numId w:val="1"/>
        </w:numPr>
        <w:spacing w:before="40" w:after="40"/>
      </w:pPr>
      <w:r>
        <w:rPr>
          <w:rFonts w:ascii="Arial" w:hAnsi="Arial" w:eastAsia="Arial" w:cs="Arial"/>
          <w:color w:val="4A4A4A"/>
          <w:sz w:val="22"/>
          <w:szCs w:val="22"/>
        </w:rPr>
        <w:t>YOLO model weights are pre-trained and available at system startup; no online model training is required during application runtime.</w:t>
      </w:r>
    </w:p>
    <w:p w14:paraId="04C16147">
      <w:pPr>
        <w:pStyle w:val="16"/>
        <w:numPr>
          <w:ilvl w:val="0"/>
          <w:numId w:val="1"/>
        </w:numPr>
        <w:spacing w:before="40" w:after="40"/>
      </w:pPr>
      <w:r>
        <w:rPr>
          <w:rFonts w:ascii="Arial" w:hAnsi="Arial" w:eastAsia="Arial" w:cs="Arial"/>
          <w:color w:val="4A4A4A"/>
          <w:sz w:val="22"/>
          <w:szCs w:val="22"/>
        </w:rPr>
        <w:t>Users accessing the platform have been granted appropriate role-based permissions by their organisation's system administrator.</w:t>
      </w:r>
    </w:p>
    <w:p w14:paraId="1BBF7F9A">
      <w:pPr>
        <w:pStyle w:val="16"/>
        <w:numPr>
          <w:ilvl w:val="0"/>
          <w:numId w:val="1"/>
        </w:numPr>
        <w:spacing w:before="40" w:after="40"/>
      </w:pPr>
      <w:r>
        <w:rPr>
          <w:rFonts w:ascii="Arial" w:hAnsi="Arial" w:eastAsia="Arial" w:cs="Arial"/>
          <w:color w:val="4A4A4A"/>
          <w:sz w:val="22"/>
          <w:szCs w:val="22"/>
        </w:rPr>
        <w:t>Currency figures in demo mode are illustrative only; production deployment shall be calibrated to the institution's actual portfolio data.</w:t>
      </w:r>
    </w:p>
    <w:p w14:paraId="2C02673F">
      <w:pPr>
        <w:spacing w:before="120" w:after="0"/>
      </w:pPr>
    </w:p>
    <w:p w14:paraId="1F741465">
      <w:pPr>
        <w:pStyle w:val="3"/>
        <w:spacing w:before="280" w:after="120"/>
      </w:pPr>
      <w:r>
        <w:rPr>
          <w:rFonts w:ascii="Arial" w:hAnsi="Arial" w:eastAsia="Arial" w:cs="Arial"/>
          <w:b/>
          <w:bCs/>
          <w:color w:val="2E5FA3"/>
          <w:sz w:val="26"/>
          <w:szCs w:val="26"/>
        </w:rPr>
        <w:t>10.3  Constraints</w:t>
      </w:r>
    </w:p>
    <w:p w14:paraId="6410764E">
      <w:pPr>
        <w:pStyle w:val="16"/>
        <w:numPr>
          <w:ilvl w:val="0"/>
          <w:numId w:val="1"/>
        </w:numPr>
        <w:spacing w:before="40" w:after="40"/>
      </w:pPr>
      <w:r>
        <w:rPr>
          <w:rFonts w:ascii="Arial" w:hAnsi="Arial" w:eastAsia="Arial" w:cs="Arial"/>
          <w:color w:val="4A4A4A"/>
          <w:sz w:val="22"/>
          <w:szCs w:val="22"/>
        </w:rPr>
        <w:t>Phase 1 deployment is constrained to a Streamlit-based architecture, limiting advanced frontend customisation and concurrent user capacity.</w:t>
      </w:r>
    </w:p>
    <w:p w14:paraId="31D012D9">
      <w:pPr>
        <w:pStyle w:val="16"/>
        <w:numPr>
          <w:ilvl w:val="0"/>
          <w:numId w:val="1"/>
        </w:numPr>
        <w:spacing w:before="40" w:after="40"/>
      </w:pPr>
      <w:r>
        <w:rPr>
          <w:rFonts w:ascii="Arial" w:hAnsi="Arial" w:eastAsia="Arial" w:cs="Arial"/>
          <w:color w:val="4A4A4A"/>
          <w:sz w:val="22"/>
          <w:szCs w:val="22"/>
        </w:rPr>
        <w:t>The credit scoring model is trained on a fixed dataset; real-time continuous learning is a Phase 2 requirement.</w:t>
      </w:r>
    </w:p>
    <w:p w14:paraId="5FBAB3D1">
      <w:pPr>
        <w:pStyle w:val="16"/>
        <w:numPr>
          <w:ilvl w:val="0"/>
          <w:numId w:val="1"/>
        </w:numPr>
        <w:spacing w:before="40" w:after="40"/>
      </w:pPr>
      <w:r>
        <w:rPr>
          <w:rFonts w:ascii="Arial" w:hAnsi="Arial" w:eastAsia="Arial" w:cs="Arial"/>
          <w:color w:val="4A4A4A"/>
          <w:sz w:val="22"/>
          <w:szCs w:val="22"/>
        </w:rPr>
        <w:t>YOLO-based KYC verification requires a minimum image resolution of 640 × 640 pixels; low-quality images may produce unreliable results.</w:t>
      </w:r>
    </w:p>
    <w:p w14:paraId="686A7A71">
      <w:pPr>
        <w:pStyle w:val="16"/>
        <w:numPr>
          <w:ilvl w:val="0"/>
          <w:numId w:val="1"/>
        </w:numPr>
        <w:spacing w:before="40" w:after="40"/>
      </w:pPr>
      <w:r>
        <w:rPr>
          <w:rFonts w:ascii="Arial" w:hAnsi="Arial" w:eastAsia="Arial" w:cs="Arial"/>
          <w:color w:val="4A4A4A"/>
          <w:sz w:val="22"/>
          <w:szCs w:val="22"/>
        </w:rPr>
        <w:t>Batch scoring is constrained to CSV input format in Phase 1; API-based batch submission is a Phase 2 enhancement.</w:t>
      </w:r>
      <w:bookmarkStart w:id="0" w:name="_GoBack"/>
      <w:bookmarkEnd w:id="0"/>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45517">
    <w:pPr>
      <w:pBdr>
        <w:top w:val="single" w:color="C5D5E8" w:sz="4" w:space="4"/>
      </w:pBdr>
      <w:tabs>
        <w:tab w:val="right" w:pos="9026"/>
      </w:tabs>
      <w:spacing w:before="100" w:after="0"/>
    </w:pPr>
    <w:r>
      <w:rPr>
        <w:rFonts w:ascii="Arial" w:hAnsi="Arial" w:eastAsia="Arial" w:cs="Arial"/>
        <w:i/>
        <w:iCs/>
        <w:color w:val="888888"/>
        <w:sz w:val="16"/>
        <w:szCs w:val="16"/>
      </w:rPr>
      <w:t>Confidential — Internal Use Only</w:t>
    </w:r>
    <w:r>
      <w:rPr>
        <w:rFonts w:ascii="Arial" w:hAnsi="Arial" w:eastAsia="Arial" w:cs="Arial"/>
        <w:color w:val="4A4A4A"/>
        <w:sz w:val="16"/>
        <w:szCs w:val="16"/>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9D1EE">
    <w:pPr>
      <w:pBdr>
        <w:bottom w:val="single" w:color="1B3A6B" w:sz="6" w:space="6"/>
      </w:pBdr>
      <w:tabs>
        <w:tab w:val="right" w:pos="9026"/>
      </w:tabs>
      <w:spacing w:before="0" w:after="100"/>
    </w:pPr>
    <w:r>
      <w:rPr>
        <w:rFonts w:ascii="Arial" w:hAnsi="Arial" w:eastAsia="Arial" w:cs="Arial"/>
        <w:b/>
        <w:bCs/>
        <w:color w:val="1B3A6B"/>
        <w:sz w:val="18"/>
        <w:szCs w:val="18"/>
      </w:rPr>
      <w:t>FinGuard Analytics &amp; Intelligence</w:t>
    </w:r>
    <w:r>
      <w:rPr>
        <w:rFonts w:ascii="Arial" w:hAnsi="Arial" w:eastAsia="Arial" w:cs="Arial"/>
        <w:i/>
        <w:iCs/>
        <w:color w:val="4A4A4A"/>
        <w:sz w:val="18"/>
        <w:szCs w:val="18"/>
      </w:rPr>
      <w:tab/>
      <w:t>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3CC136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B3A6B"/>
      <w:sz w:val="34"/>
      <w:szCs w:val="34"/>
    </w:rPr>
  </w:style>
  <w:style w:type="paragraph" w:styleId="3">
    <w:name w:val="heading 2"/>
    <w:next w:val="1"/>
    <w:qFormat/>
    <w:uiPriority w:val="0"/>
    <w:pPr>
      <w:spacing w:before="280" w:after="120"/>
      <w:outlineLvl w:val="1"/>
    </w:pPr>
    <w:rPr>
      <w:rFonts w:ascii="Arial" w:hAnsi="Arial" w:eastAsia="Arial" w:cs="Arial"/>
      <w:b/>
      <w:bCs/>
      <w:color w:val="2E5FA3"/>
      <w:sz w:val="26"/>
      <w:szCs w:val="26"/>
    </w:rPr>
  </w:style>
  <w:style w:type="paragraph" w:styleId="4">
    <w:name w:val="heading 3"/>
    <w:next w:val="1"/>
    <w:qFormat/>
    <w:uiPriority w:val="0"/>
    <w:pPr>
      <w:spacing w:before="200" w:after="80"/>
      <w:outlineLvl w:val="2"/>
    </w:pPr>
    <w:rPr>
      <w:rFonts w:ascii="Arial" w:hAnsi="Arial" w:eastAsia="Arial" w:cs="Arial"/>
      <w:b/>
      <w:bCs/>
      <w:color w:val="1B3A6B"/>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4</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2026-05-15T05:02:00Z</dcterms:created>
  <dc:creator>Un-named</dc:creator>
  <cp:lastModifiedBy>Pooja Gupta</cp:lastModifiedBy>
  <dcterms:modified xsi:type="dcterms:W3CDTF">2026-05-15T05:11:13Z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1B0316778C5E4B3EBBF2BD5BC2249932_12</vt:lpwstr>
  </property>
</Properties>
</file>