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ENTERPRISE CODING STANDARDS &amp; ENGINEERING GUIDELINES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Language Conventions, Security Hardening, Error Handling, Microservices Design, and Static Analysis Governance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INF-STD-FIN-2026-0601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HLD/LLD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Target Languages: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Java 21 (Spring Boot), Go 1.22+, React.js / TypeScript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Governance Lead: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Infosys FS Engineering Excellence Practice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(Mandatory Engineering Standard)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12,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Core Engineering &amp; Architecture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MANDATORY COMPLIANCE: </w:t>
            </w:r>
            <w:r>
              <w:rPr>
                <w:color w:val="0F172A"/>
              </w:rPr>
              <w:t>All code contributed to the Enterprise Digital Banking Platform must adhere to strict modularity, testability, security, and zero-trust data handling. Code reviews will automatically reject PRs failing SonarQube quality gates (Coverage &lt; 85%, Security Hotspots &gt; 0).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1.1 SOLID &amp; Clean Code Rules</w:t>
      </w:r>
    </w:p>
    <w:p>
      <w:pPr>
        <w:pStyle w:val="ListBullet"/>
      </w:pPr>
      <w:r>
        <w:rPr>
          <w:b/>
          <w:color w:val="0066CC"/>
        </w:rPr>
        <w:t xml:space="preserve">Single Responsibility Principle (SRP): </w:t>
      </w:r>
      <w:r>
        <w:t>Every class/microservice must have a single primary business responsibility (e.g., separating payment execution from payment validation).</w:t>
      </w:r>
    </w:p>
    <w:p>
      <w:pPr>
        <w:pStyle w:val="ListBullet"/>
      </w:pPr>
      <w:r>
        <w:rPr>
          <w:b/>
          <w:color w:val="0066CC"/>
        </w:rPr>
        <w:t xml:space="preserve">Immutability by Default: </w:t>
      </w:r>
      <w:r>
        <w:t>Use Java `record` types or Go immutable structs for Transfer Objects (DTOs) and event domain models.</w:t>
      </w:r>
    </w:p>
    <w:p>
      <w:pPr>
        <w:pStyle w:val="ListBullet"/>
      </w:pPr>
      <w:r>
        <w:rPr>
          <w:b/>
          <w:color w:val="0066CC"/>
        </w:rPr>
        <w:t xml:space="preserve">Explicit Error Handling: </w:t>
      </w:r>
      <w:r>
        <w:t>Never swallow exceptions. Do not catch generic `Exception` or `Throwable`. Always map to standardized domain error codes.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Backend Language Standards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2.1 Java 21 &amp; Spring Boot Standards</w:t>
      </w:r>
    </w:p>
    <w:p>
      <w:r>
        <w:t>• Naming: PascalCase for Classes (`PaymentBatchService`), camelCase for variables/methods (`evaluateMatrixRules`).</w:t>
      </w:r>
    </w:p>
    <w:p>
      <w:r>
        <w:t>• Virtual Threads (Project Loom): Utilize Java 21 Virtual Threads (`Executors.newVirtualThreadPerTaskExecutor()`) for I/O-bound microservice tasks.</w:t>
      </w:r>
    </w:p>
    <w:p>
      <w:r>
        <w:t>• Dependency Injection: Use constructor injection (`@RequiredArgsConstructor`) instead of `@Autowired` field injection.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// JAVA 21 CLEAN CONTROLLER EXAMPLE</w:t>
              <w:br/>
            </w:r>
            <w:r>
              <w:rPr>
                <w:rFonts w:ascii="Consolas" w:hAnsi="Consolas"/>
                <w:color w:val="F1F5F9"/>
                <w:sz w:val="16"/>
              </w:rPr>
              <w:t>@RestController</w:t>
              <w:br/>
              <w:t>@RequestMapping("/api/v1/payments")</w:t>
              <w:br/>
              <w:t>@RequiredArgsConstructor</w:t>
              <w:br/>
              <w:t>@Slf4j</w:t>
              <w:br/>
              <w:t>public class PaymentController {</w:t>
              <w:br/>
              <w:br/>
              <w:t xml:space="preserve">    private final PaymentExecutionService paymentExecutionService;</w:t>
              <w:br/>
              <w:br/>
              <w:t xml:space="preserve">    @PostMapping("/transfers")</w:t>
              <w:br/>
              <w:t xml:space="preserve">    public ResponseEntity&lt;PaymentAcceptedResponse&gt; initiateTransfer(</w:t>
              <w:br/>
              <w:t xml:space="preserve">            @RequestHeader("X-Idempotency-Key") UUID idempotencyKey,</w:t>
              <w:br/>
              <w:t xml:space="preserve">            @Valid @RequestBody PaymentInstruction instruction) {</w:t>
              <w:br/>
              <w:t xml:space="preserve">            </w:t>
              <w:br/>
              <w:t xml:space="preserve">        log.info("Processing transfer request. IdempotencyKey: {}", idempotencyKey);</w:t>
              <w:br/>
              <w:t xml:space="preserve">        PaymentAcceptedResponse response = paymentExecutionService.process(idempotencyKey, instruction);</w:t>
              <w:br/>
              <w:t xml:space="preserve">        return ResponseEntity.status(HttpStatus.ACCEPTED).body(response);</w:t>
              <w:br/>
              <w:t xml:space="preserve">    }</w:t>
              <w:br/>
              <w:t>}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2.2 Go Microservice Standards (Payment Gateways)</w:t>
      </w:r>
    </w:p>
    <w:p>
      <w:r>
        <w:t>• Error Handling: Check `if err != nil` immediately. Wrap errors with context using `fmt.Errorf("failed to execute swift wire: %w", err)`.</w:t>
      </w:r>
    </w:p>
    <w:p>
      <w:r>
        <w:t>• Concurrency: Always pass `context.Context` to handle timeouts, cancellations, and distributed tracing span IDs.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Secure Coding &amp; OWASP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OWASP / Security Domain</w:t>
            </w:r>
          </w:p>
        </w:tc>
        <w:tc>
          <w:tcPr>
            <w:tcW w:type="dxa" w:w="388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Engineering Mandate</w:t>
            </w:r>
          </w:p>
        </w:tc>
        <w:tc>
          <w:tcPr>
            <w:tcW w:type="dxa" w:w="288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Implementation Mechanism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SQL Injection Prevention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Zero raw string concatenation in SQL queries.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Spring Data JPA / Prepared Statements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PII &amp; PFI Masking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Mask account numbers, IBANs, and SSNs in application logs.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Logback Custom Masking Pattern / `@ToString.Exclude`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Secret Management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Zero hardcoded credentials, API keys, or JWT secrets.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HashiCorp Vault Integration at Pod Runtime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Input Validation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Sanitize all incoming HTTP request body payloads.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Hibernate Validator `@Valid` / OWASP Sanitizer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4. Quality Gates &amp; CI/CD Governance</w:t>
      </w:r>
    </w:p>
    <w:p>
      <w:r>
        <w:t>Every Pull Request (PR) must pass automated quality gates before merge approval:</w:t>
      </w:r>
    </w:p>
    <w:p>
      <w:r>
        <w:t>• SonarQube Code Coverage &gt;= 85%</w:t>
      </w:r>
    </w:p>
    <w:p>
      <w:r>
        <w:t>• Zero Security Vulnerabilities (Blocker/Critical)</w:t>
      </w:r>
    </w:p>
    <w:p>
      <w:r>
        <w:t>• Successful OWASP Dependency Check scan</w:t>
      </w:r>
    </w:p>
    <w:p>
      <w:r>
        <w:t>• Minimum of two Senior Engineer Peer Approvals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