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B91C1C"/>
          <w:sz w:val="24"/>
        </w:rPr>
        <w:t>POST-MORTEM &amp; SEVERITY-1 PRODUCTION INCIDENT REPORT</w:t>
      </w:r>
    </w:p>
    <w:p>
      <w:pPr>
        <w:spacing w:after="200"/>
      </w:pPr>
      <w:r>
        <w:rPr>
          <w:b/>
          <w:color w:val="0A2540"/>
          <w:sz w:val="48"/>
        </w:rPr>
        <w:t>Next-Gen Enterprise Digital Banking Platform</w:t>
      </w:r>
    </w:p>
    <w:p>
      <w:pPr>
        <w:spacing w:after="400"/>
      </w:pPr>
      <w:r>
        <w:rPr>
          <w:i/>
          <w:color w:val="64748B"/>
          <w:sz w:val="21"/>
        </w:rPr>
        <w:t>INC-20260828-P1: Core Banking Engine gRPC Deadline Exceeded &amp; Circuit Breaker Cascading Failure</w:t>
      </w:r>
    </w:p>
    <w:p>
      <w:pPr>
        <w:keepNext/>
        <w:spacing w:before="240" w:after="80"/>
      </w:pPr>
      <w:r>
        <w:rPr>
          <w:rFonts w:ascii="Arial" w:hAnsi="Arial"/>
          <w:b/>
          <w:color w:val="0066CC"/>
          <w:sz w:val="24"/>
        </w:rPr>
        <w:t>Incident Metadata</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r>
              <w:rPr>
                <w:b/>
              </w:rPr>
              <w:t>Incident Ref ID:</w:t>
            </w:r>
          </w:p>
        </w:tc>
        <w:tc>
          <w:tcPr>
            <w:tcW w:type="dxa" w:w="6192"/>
            <w:shd w:fill="FFFFFF"/>
            <w:tcMar>
              <w:top w:w="70" w:type="dxa"/>
              <w:bottom w:w="70" w:type="dxa"/>
              <w:left w:w="100" w:type="dxa"/>
              <w:right w:w="100" w:type="dxa"/>
            </w:tcMar>
          </w:tcPr>
          <w:p>
            <w:r>
              <w:t>INC-20260828-P1</w:t>
            </w:r>
          </w:p>
        </w:tc>
      </w:tr>
      <w:tr>
        <w:tc>
          <w:tcPr>
            <w:tcW w:type="dxa" w:w="3168"/>
            <w:shd w:fill="F8FAFC"/>
            <w:tcMar>
              <w:top w:w="70" w:type="dxa"/>
              <w:bottom w:w="70" w:type="dxa"/>
              <w:left w:w="100" w:type="dxa"/>
              <w:right w:w="100" w:type="dxa"/>
            </w:tcMar>
          </w:tcPr>
          <w:p>
            <w:r>
              <w:rPr>
                <w:b/>
              </w:rPr>
              <w:t>Severity Level:</w:t>
            </w:r>
          </w:p>
        </w:tc>
        <w:tc>
          <w:tcPr>
            <w:tcW w:type="dxa" w:w="6192"/>
            <w:shd w:fill="FFFFFF"/>
            <w:tcMar>
              <w:top w:w="70" w:type="dxa"/>
              <w:bottom w:w="70" w:type="dxa"/>
              <w:left w:w="100" w:type="dxa"/>
              <w:right w:w="100" w:type="dxa"/>
            </w:tcMar>
          </w:tcPr>
          <w:p>
            <w:r>
              <w:t>SEV-1 (Critical Business Impact)</w:t>
            </w:r>
          </w:p>
        </w:tc>
      </w:tr>
      <w:tr>
        <w:tc>
          <w:tcPr>
            <w:tcW w:type="dxa" w:w="3168"/>
            <w:shd w:fill="F8FAFC"/>
            <w:tcMar>
              <w:top w:w="70" w:type="dxa"/>
              <w:bottom w:w="70" w:type="dxa"/>
              <w:left w:w="100" w:type="dxa"/>
              <w:right w:w="100" w:type="dxa"/>
            </w:tcMar>
          </w:tcPr>
          <w:p>
            <w:r>
              <w:rPr>
                <w:b/>
              </w:rPr>
              <w:t>Incident Commander:</w:t>
            </w:r>
          </w:p>
        </w:tc>
        <w:tc>
          <w:tcPr>
            <w:tcW w:type="dxa" w:w="6192"/>
            <w:shd w:fill="FFFFFF"/>
            <w:tcMar>
              <w:top w:w="70" w:type="dxa"/>
              <w:bottom w:w="70" w:type="dxa"/>
              <w:left w:w="100" w:type="dxa"/>
              <w:right w:w="100" w:type="dxa"/>
            </w:tcMar>
          </w:tcPr>
          <w:p>
            <w:r>
              <w:t>Rajesh Nair (Lead SRE Architect)</w:t>
            </w:r>
          </w:p>
        </w:tc>
      </w:tr>
      <w:tr>
        <w:tc>
          <w:tcPr>
            <w:tcW w:type="dxa" w:w="3168"/>
            <w:shd w:fill="F8FAFC"/>
            <w:tcMar>
              <w:top w:w="70" w:type="dxa"/>
              <w:bottom w:w="70" w:type="dxa"/>
              <w:left w:w="100" w:type="dxa"/>
              <w:right w:w="100" w:type="dxa"/>
            </w:tcMar>
          </w:tcPr>
          <w:p>
            <w:r>
              <w:rPr>
                <w:b/>
              </w:rPr>
              <w:t>Impacted Service:</w:t>
            </w:r>
          </w:p>
        </w:tc>
        <w:tc>
          <w:tcPr>
            <w:tcW w:type="dxa" w:w="6192"/>
            <w:shd w:fill="FFFFFF"/>
            <w:tcMar>
              <w:top w:w="70" w:type="dxa"/>
              <w:bottom w:w="70" w:type="dxa"/>
              <w:left w:w="100" w:type="dxa"/>
              <w:right w:w="100" w:type="dxa"/>
            </w:tcMar>
          </w:tcPr>
          <w:p>
            <w:r>
              <w:t>Core Banking gRPC Ingestion &amp; Wire Transfer Pipeline</w:t>
            </w:r>
          </w:p>
        </w:tc>
      </w:tr>
      <w:tr>
        <w:tc>
          <w:tcPr>
            <w:tcW w:type="dxa" w:w="3168"/>
            <w:shd w:fill="F8FAFC"/>
            <w:tcMar>
              <w:top w:w="70" w:type="dxa"/>
              <w:bottom w:w="70" w:type="dxa"/>
              <w:left w:w="100" w:type="dxa"/>
              <w:right w:w="100" w:type="dxa"/>
            </w:tcMar>
          </w:tcPr>
          <w:p>
            <w:r>
              <w:rPr>
                <w:b/>
              </w:rPr>
              <w:t>Total Downtime / MTTR:</w:t>
            </w:r>
          </w:p>
        </w:tc>
        <w:tc>
          <w:tcPr>
            <w:tcW w:type="dxa" w:w="6192"/>
            <w:shd w:fill="FFFFFF"/>
            <w:tcMar>
              <w:top w:w="70" w:type="dxa"/>
              <w:bottom w:w="70" w:type="dxa"/>
              <w:left w:w="100" w:type="dxa"/>
              <w:right w:w="100" w:type="dxa"/>
            </w:tcMar>
          </w:tcPr>
          <w:p>
            <w:r>
              <w:t>42 Minutes (08:15:00 UTC - 08:57:00 UTC)</w:t>
            </w:r>
          </w:p>
        </w:tc>
      </w:tr>
      <w:tr>
        <w:tc>
          <w:tcPr>
            <w:tcW w:type="dxa" w:w="3168"/>
            <w:shd w:fill="F8FAFC"/>
            <w:tcMar>
              <w:top w:w="70" w:type="dxa"/>
              <w:bottom w:w="70" w:type="dxa"/>
              <w:left w:w="100" w:type="dxa"/>
              <w:right w:w="100" w:type="dxa"/>
            </w:tcMar>
          </w:tcPr>
          <w:p>
            <w:r>
              <w:rPr>
                <w:b/>
              </w:rPr>
              <w:t>Incident Date:</w:t>
            </w:r>
          </w:p>
        </w:tc>
        <w:tc>
          <w:tcPr>
            <w:tcW w:type="dxa" w:w="6192"/>
            <w:shd w:fill="FFFFFF"/>
            <w:tcMar>
              <w:top w:w="70" w:type="dxa"/>
              <w:bottom w:w="70" w:type="dxa"/>
              <w:left w:w="100" w:type="dxa"/>
              <w:right w:w="100" w:type="dxa"/>
            </w:tcMar>
          </w:tcPr>
          <w:p>
            <w:r>
              <w:t>August 28, 2026</w:t>
            </w:r>
          </w:p>
        </w:tc>
      </w:tr>
    </w:tbl>
    <w:p>
      <w:r>
        <w:br w:type="page"/>
      </w:r>
    </w:p>
    <w:p>
      <w:pPr>
        <w:keepNext/>
        <w:spacing w:before="360" w:after="120"/>
      </w:pPr>
      <w:r>
        <w:rPr>
          <w:rFonts w:ascii="Arial" w:hAnsi="Arial"/>
          <w:b/>
          <w:color w:val="0A2540"/>
          <w:sz w:val="30"/>
        </w:rPr>
        <w:t>1. Executive Summary &amp; Root Cause Analysis</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none"/>
              <w:left w:val="single" w:sz="24" w:space="0" w:color="B91C1C"/>
              <w:bottom w:val="none"/>
              <w:right w:val="none"/>
            </w:tcBorders>
          </w:tcPr>
          <w:p>
            <w:pPr>
              <w:spacing w:before="40" w:after="40"/>
            </w:pPr>
            <w:r>
              <w:rPr>
                <w:b/>
                <w:color w:val="B91C1C"/>
              </w:rPr>
              <w:t xml:space="preserve">EXECUTIVE SUMMARY: </w:t>
            </w:r>
            <w:r>
              <w:rPr>
                <w:color w:val="0F172A"/>
              </w:rPr>
              <w:t>On August 28, 2026, at 08:15:00 UTC, during the monthly morning corporate payroll processing cutoff, a high-density burst of FedNow wire requests triggered a downstream connection pool exhaustion on the legacy Core Banking (Finacle Engine) gRPC stub. Unhandled gRPC DEADLINE_EXCEEDED (Code 4) errors propagated upstream, tripping the Resilience4j Circuit Breaker and degrading payment processing for 42 minutes. Zero financial data loss or double debits occurred due to active idempotency key enforcement.</w:t>
            </w:r>
          </w:p>
        </w:tc>
      </w:tr>
    </w:tbl>
    <w:p>
      <w:pPr>
        <w:keepNext/>
        <w:spacing w:before="360" w:after="120"/>
      </w:pPr>
      <w:r>
        <w:rPr>
          <w:rFonts w:ascii="Arial" w:hAnsi="Arial"/>
          <w:b/>
          <w:color w:val="0A2540"/>
          <w:sz w:val="30"/>
        </w:rPr>
        <w:t>2. Chronological Timeline of Events (UTC)</w:t>
      </w:r>
    </w:p>
    <w:tbl>
      <w:tblPr>
        <w:tblW w:type="auto" w:w="0"/>
        <w:jc w:val="center"/>
        <w:tblLook w:firstColumn="1" w:firstRow="1" w:lastColumn="0" w:lastRow="0" w:noHBand="0" w:noVBand="1" w:val="04A0"/>
      </w:tblPr>
      <w:tblGrid>
        <w:gridCol w:w="3120"/>
        <w:gridCol w:w="3120"/>
        <w:gridCol w:w="3120"/>
      </w:tblGrid>
      <w:tr>
        <w:tc>
          <w:tcPr>
            <w:tcW w:type="dxa" w:w="1728"/>
            <w:shd w:fill="0A2540"/>
            <w:tcMar>
              <w:top w:w="80" w:type="dxa"/>
              <w:bottom w:w="80" w:type="dxa"/>
              <w:left w:w="100" w:type="dxa"/>
              <w:right w:w="100" w:type="dxa"/>
            </w:tcMar>
          </w:tcPr>
          <w:p>
            <w:r>
              <w:rPr>
                <w:b/>
                <w:color w:val="FFFFFF"/>
              </w:rPr>
              <w:t>Time (UTC)</w:t>
            </w:r>
          </w:p>
        </w:tc>
        <w:tc>
          <w:tcPr>
            <w:tcW w:type="dxa" w:w="1872"/>
            <w:shd w:fill="0A2540"/>
            <w:tcMar>
              <w:top w:w="80" w:type="dxa"/>
              <w:bottom w:w="80" w:type="dxa"/>
              <w:left w:w="100" w:type="dxa"/>
              <w:right w:w="100" w:type="dxa"/>
            </w:tcMar>
          </w:tcPr>
          <w:p>
            <w:r>
              <w:rPr>
                <w:b/>
                <w:color w:val="FFFFFF"/>
              </w:rPr>
              <w:t>Phase</w:t>
            </w:r>
          </w:p>
        </w:tc>
        <w:tc>
          <w:tcPr>
            <w:tcW w:type="dxa" w:w="5760"/>
            <w:shd w:fill="0A2540"/>
            <w:tcMar>
              <w:top w:w="80" w:type="dxa"/>
              <w:bottom w:w="80" w:type="dxa"/>
              <w:left w:w="100" w:type="dxa"/>
              <w:right w:w="100" w:type="dxa"/>
            </w:tcMar>
          </w:tcPr>
          <w:p>
            <w:r>
              <w:rPr>
                <w:b/>
                <w:color w:val="FFFFFF"/>
              </w:rPr>
              <w:t>Event Description &amp; Operational Actions</w:t>
            </w:r>
          </w:p>
        </w:tc>
      </w:tr>
      <w:tr>
        <w:tc>
          <w:tcPr>
            <w:tcW w:type="dxa" w:w="1728"/>
            <w:shd w:fill="FEF2F2"/>
            <w:tcMar>
              <w:top w:w="70" w:type="dxa"/>
              <w:bottom w:w="70" w:type="dxa"/>
              <w:left w:w="100" w:type="dxa"/>
              <w:right w:w="100" w:type="dxa"/>
            </w:tcMar>
          </w:tcPr>
          <w:p>
            <w:r>
              <w:rPr>
                <w:b/>
              </w:rPr>
              <w:t>08:15:00</w:t>
            </w:r>
          </w:p>
        </w:tc>
        <w:tc>
          <w:tcPr>
            <w:tcW w:type="dxa" w:w="1872"/>
            <w:shd w:fill="FEF2F2"/>
            <w:tcMar>
              <w:top w:w="70" w:type="dxa"/>
              <w:bottom w:w="70" w:type="dxa"/>
              <w:left w:w="100" w:type="dxa"/>
              <w:right w:w="100" w:type="dxa"/>
            </w:tcMar>
          </w:tcPr>
          <w:p>
            <w:r>
              <w:rPr>
                <w:b/>
              </w:rPr>
              <w:t>Detection</w:t>
            </w:r>
          </w:p>
        </w:tc>
        <w:tc>
          <w:tcPr>
            <w:tcW w:type="dxa" w:w="5760"/>
            <w:shd w:fill="FEF2F2"/>
            <w:tcMar>
              <w:top w:w="70" w:type="dxa"/>
              <w:bottom w:w="70" w:type="dxa"/>
              <w:left w:w="100" w:type="dxa"/>
              <w:right w:w="100" w:type="dxa"/>
            </w:tcMar>
          </w:tcPr>
          <w:p>
            <w:r>
              <w:t>Automated Datadog alarm `ALERT: gRPC DEADLINE_EXCEEDED &gt; 5%` triggered. PagerDuty pings Incident Commander.</w:t>
            </w:r>
          </w:p>
        </w:tc>
      </w:tr>
      <w:tr>
        <w:tc>
          <w:tcPr>
            <w:tcW w:type="dxa" w:w="1728"/>
            <w:shd w:fill="FEF2F2"/>
            <w:tcMar>
              <w:top w:w="70" w:type="dxa"/>
              <w:bottom w:w="70" w:type="dxa"/>
              <w:left w:w="100" w:type="dxa"/>
              <w:right w:w="100" w:type="dxa"/>
            </w:tcMar>
          </w:tcPr>
          <w:p>
            <w:r>
              <w:rPr>
                <w:b/>
              </w:rPr>
              <w:t>08:18:00</w:t>
            </w:r>
          </w:p>
        </w:tc>
        <w:tc>
          <w:tcPr>
            <w:tcW w:type="dxa" w:w="1872"/>
            <w:shd w:fill="FEF2F2"/>
            <w:tcMar>
              <w:top w:w="70" w:type="dxa"/>
              <w:bottom w:w="70" w:type="dxa"/>
              <w:left w:w="100" w:type="dxa"/>
              <w:right w:w="100" w:type="dxa"/>
            </w:tcMar>
          </w:tcPr>
          <w:p>
            <w:r>
              <w:rPr>
                <w:b/>
              </w:rPr>
              <w:t>Triage</w:t>
            </w:r>
          </w:p>
        </w:tc>
        <w:tc>
          <w:tcPr>
            <w:tcW w:type="dxa" w:w="5760"/>
            <w:shd w:fill="FEF2F2"/>
            <w:tcMar>
              <w:top w:w="70" w:type="dxa"/>
              <w:bottom w:w="70" w:type="dxa"/>
              <w:left w:w="100" w:type="dxa"/>
              <w:right w:w="100" w:type="dxa"/>
            </w:tcMar>
          </w:tcPr>
          <w:p>
            <w:r>
              <w:t>Kong Gateway reports HTTP 504 errors on `/api/v1/payments/transfers`. Pod CPU spikes to 95% across 4 initial pods.</w:t>
            </w:r>
          </w:p>
        </w:tc>
      </w:tr>
      <w:tr>
        <w:tc>
          <w:tcPr>
            <w:tcW w:type="dxa" w:w="1728"/>
            <w:shd w:fill="F8FAFC"/>
            <w:tcMar>
              <w:top w:w="70" w:type="dxa"/>
              <w:bottom w:w="70" w:type="dxa"/>
              <w:left w:w="100" w:type="dxa"/>
              <w:right w:w="100" w:type="dxa"/>
            </w:tcMar>
          </w:tcPr>
          <w:p>
            <w:r>
              <w:rPr>
                <w:b/>
              </w:rPr>
              <w:t>08:22:00</w:t>
            </w:r>
          </w:p>
        </w:tc>
        <w:tc>
          <w:tcPr>
            <w:tcW w:type="dxa" w:w="1872"/>
            <w:shd w:fill="F8FAFC"/>
            <w:tcMar>
              <w:top w:w="70" w:type="dxa"/>
              <w:bottom w:w="70" w:type="dxa"/>
              <w:left w:w="100" w:type="dxa"/>
              <w:right w:w="100" w:type="dxa"/>
            </w:tcMar>
          </w:tcPr>
          <w:p>
            <w:r>
              <w:rPr>
                <w:b/>
              </w:rPr>
              <w:t>Escalation</w:t>
            </w:r>
          </w:p>
        </w:tc>
        <w:tc>
          <w:tcPr>
            <w:tcW w:type="dxa" w:w="5760"/>
            <w:shd w:fill="F8FAFC"/>
            <w:tcMar>
              <w:top w:w="70" w:type="dxa"/>
              <w:bottom w:w="70" w:type="dxa"/>
              <w:left w:w="100" w:type="dxa"/>
              <w:right w:w="100" w:type="dxa"/>
            </w:tcMar>
          </w:tcPr>
          <w:p>
            <w:r>
              <w:t>HPA auto-scales core-banking-service pods from 4 to 16, but downstream connection pool saturates Aurora PostgreSQL.</w:t>
            </w:r>
          </w:p>
        </w:tc>
      </w:tr>
      <w:tr>
        <w:tc>
          <w:tcPr>
            <w:tcW w:type="dxa" w:w="1728"/>
            <w:shd w:fill="FFFFFF"/>
            <w:tcMar>
              <w:top w:w="70" w:type="dxa"/>
              <w:bottom w:w="70" w:type="dxa"/>
              <w:left w:w="100" w:type="dxa"/>
              <w:right w:w="100" w:type="dxa"/>
            </w:tcMar>
          </w:tcPr>
          <w:p>
            <w:r>
              <w:rPr>
                <w:b/>
              </w:rPr>
              <w:t>08:30:00</w:t>
            </w:r>
          </w:p>
        </w:tc>
        <w:tc>
          <w:tcPr>
            <w:tcW w:type="dxa" w:w="1872"/>
            <w:shd w:fill="FFFFFF"/>
            <w:tcMar>
              <w:top w:w="70" w:type="dxa"/>
              <w:bottom w:w="70" w:type="dxa"/>
              <w:left w:w="100" w:type="dxa"/>
              <w:right w:w="100" w:type="dxa"/>
            </w:tcMar>
          </w:tcPr>
          <w:p>
            <w:r>
              <w:rPr>
                <w:b/>
              </w:rPr>
              <w:t>Mitigation</w:t>
            </w:r>
          </w:p>
        </w:tc>
        <w:tc>
          <w:tcPr>
            <w:tcW w:type="dxa" w:w="5760"/>
            <w:shd w:fill="FFFFFF"/>
            <w:tcMar>
              <w:top w:w="70" w:type="dxa"/>
              <w:bottom w:w="70" w:type="dxa"/>
              <w:left w:w="100" w:type="dxa"/>
              <w:right w:w="100" w:type="dxa"/>
            </w:tcMar>
          </w:tcPr>
          <w:p>
            <w:r>
              <w:t>SRE team manually enables rate-limiting throttle on batch files and forces circuit breaker reset via Actuator.</w:t>
            </w:r>
          </w:p>
        </w:tc>
      </w:tr>
      <w:tr>
        <w:tc>
          <w:tcPr>
            <w:tcW w:type="dxa" w:w="1728"/>
            <w:shd w:fill="F8FAFC"/>
            <w:tcMar>
              <w:top w:w="70" w:type="dxa"/>
              <w:bottom w:w="70" w:type="dxa"/>
              <w:left w:w="100" w:type="dxa"/>
              <w:right w:w="100" w:type="dxa"/>
            </w:tcMar>
          </w:tcPr>
          <w:p>
            <w:r>
              <w:rPr>
                <w:b/>
              </w:rPr>
              <w:t>08:45:00</w:t>
            </w:r>
          </w:p>
        </w:tc>
        <w:tc>
          <w:tcPr>
            <w:tcW w:type="dxa" w:w="1872"/>
            <w:shd w:fill="F8FAFC"/>
            <w:tcMar>
              <w:top w:w="70" w:type="dxa"/>
              <w:bottom w:w="70" w:type="dxa"/>
              <w:left w:w="100" w:type="dxa"/>
              <w:right w:w="100" w:type="dxa"/>
            </w:tcMar>
          </w:tcPr>
          <w:p>
            <w:r>
              <w:rPr>
                <w:b/>
              </w:rPr>
              <w:t>Stabilization</w:t>
            </w:r>
          </w:p>
        </w:tc>
        <w:tc>
          <w:tcPr>
            <w:tcW w:type="dxa" w:w="5760"/>
            <w:shd w:fill="F8FAFC"/>
            <w:tcMar>
              <w:top w:w="70" w:type="dxa"/>
              <w:bottom w:w="70" w:type="dxa"/>
              <w:left w:w="100" w:type="dxa"/>
              <w:right w:w="100" w:type="dxa"/>
            </w:tcMar>
          </w:tcPr>
          <w:p>
            <w:r>
              <w:t>gRPC deadline timeout increased from 2000ms to 5000ms via ConfigMap hot-reload. Backlog begins clearing.</w:t>
            </w:r>
          </w:p>
        </w:tc>
      </w:tr>
      <w:tr>
        <w:tc>
          <w:tcPr>
            <w:tcW w:type="dxa" w:w="1728"/>
            <w:shd w:fill="FFFFFF"/>
            <w:tcMar>
              <w:top w:w="70" w:type="dxa"/>
              <w:bottom w:w="70" w:type="dxa"/>
              <w:left w:w="100" w:type="dxa"/>
              <w:right w:w="100" w:type="dxa"/>
            </w:tcMar>
          </w:tcPr>
          <w:p>
            <w:r>
              <w:rPr>
                <w:b/>
              </w:rPr>
              <w:t>08:57:00</w:t>
            </w:r>
          </w:p>
        </w:tc>
        <w:tc>
          <w:tcPr>
            <w:tcW w:type="dxa" w:w="1872"/>
            <w:shd w:fill="FFFFFF"/>
            <w:tcMar>
              <w:top w:w="70" w:type="dxa"/>
              <w:bottom w:w="70" w:type="dxa"/>
              <w:left w:w="100" w:type="dxa"/>
              <w:right w:w="100" w:type="dxa"/>
            </w:tcMar>
          </w:tcPr>
          <w:p>
            <w:r>
              <w:rPr>
                <w:b/>
              </w:rPr>
              <w:t>Recovery</w:t>
            </w:r>
          </w:p>
        </w:tc>
        <w:tc>
          <w:tcPr>
            <w:tcW w:type="dxa" w:w="5760"/>
            <w:shd w:fill="FFFFFF"/>
            <w:tcMar>
              <w:top w:w="70" w:type="dxa"/>
              <w:bottom w:w="70" w:type="dxa"/>
              <w:left w:w="100" w:type="dxa"/>
              <w:right w:w="100" w:type="dxa"/>
            </w:tcMar>
          </w:tcPr>
          <w:p>
            <w:r>
              <w:t>All payment transaction queues fully processed. Error rate drops to 0.00%. Incident declared RESOLVED.</w:t>
            </w:r>
          </w:p>
        </w:tc>
      </w:tr>
    </w:tbl>
    <w:p>
      <w:pPr>
        <w:keepNext/>
        <w:spacing w:before="360" w:after="120"/>
      </w:pPr>
      <w:r>
        <w:rPr>
          <w:rFonts w:ascii="Arial" w:hAnsi="Arial"/>
          <w:b/>
          <w:color w:val="0A2540"/>
          <w:sz w:val="30"/>
        </w:rPr>
        <w:t>3. Log Evidence &amp; Root Cause Analysis</w:t>
      </w:r>
    </w:p>
    <w:p>
      <w:r>
        <w:t>The following log stream captured the initial cascading gRPC failure during peak traffic volume:</w:t>
      </w:r>
    </w:p>
    <w:tbl>
      <w:tblPr>
        <w:tblW w:type="auto" w:w="0"/>
        <w:jc w:val="center"/>
        <w:tblLayout w:type="fixed"/>
        <w:tblLook w:firstColumn="1" w:firstRow="1" w:lastColumn="0" w:lastRow="0" w:noHBand="0" w:noVBand="1" w:val="04A0"/>
      </w:tblPr>
      <w:tblGrid>
        <w:gridCol w:w="9360"/>
      </w:tblGrid>
      <w:tr>
        <w:tc>
          <w:tcPr>
            <w:tcW w:type="dxa" w:w="9360"/>
            <w:shd w:fill="1E293B"/>
            <w:tcMar>
              <w:top w:w="100" w:type="dxa"/>
              <w:bottom w:w="100" w:type="dxa"/>
              <w:left w:w="150" w:type="dxa"/>
              <w:right w:w="150" w:type="dxa"/>
            </w:tcMar>
            <w:tcBorders>
              <w:top w:val="single" w:sz="6" w:space="0" w:color="0066CC"/>
              <w:left w:val="single" w:sz="18" w:space="0" w:color="0066CC"/>
              <w:bottom w:val="single" w:sz="6" w:space="0" w:color="0066CC"/>
              <w:right w:val="single" w:sz="6" w:space="0" w:color="0066CC"/>
            </w:tcBorders>
          </w:tcPr>
          <w:p>
            <w:pPr>
              <w:spacing w:before="40" w:after="40"/>
            </w:pPr>
            <w:r>
              <w:rPr>
                <w:rFonts w:ascii="Consolas" w:hAnsi="Consolas"/>
                <w:b/>
                <w:color w:val="38BDF8"/>
                <w:sz w:val="17"/>
              </w:rPr>
              <w:t># INCIDENT_LOG_TRACE.JSON</w:t>
              <w:br/>
            </w:r>
            <w:r>
              <w:rPr>
                <w:rFonts w:ascii="Consolas" w:hAnsi="Consolas"/>
                <w:color w:val="F1F5F9"/>
                <w:sz w:val="16"/>
              </w:rPr>
              <w:t>{</w:t>
              <w:br/>
              <w:t xml:space="preserve">  "timestamp": "2026-08-28T08:15:04.112Z",</w:t>
              <w:br/>
              <w:t xml:space="preserve">  "log.level": "ERROR",</w:t>
              <w:br/>
              <w:t xml:space="preserve">  "service.name": "core-banking-service",</w:t>
              <w:br/>
              <w:t xml:space="preserve">  "trace.id": "c1f90012a88241b2c3d4e5f678901234",</w:t>
              <w:br/>
              <w:t xml:space="preserve">  "rpc.method": "com.infosys.banking.v1.CoreBankingService/ExecuteTransfer",</w:t>
              <w:br/>
              <w:t xml:space="preserve">  "rpc.status_code": "DEADLINE_EXCEEDED",</w:t>
              <w:br/>
              <w:t xml:space="preserve">  "error.class": "io.grpc.StatusRuntimeException",</w:t>
              <w:br/>
              <w:t xml:space="preserve">  "error.message": "deadline exceeded after 1999.821ms",</w:t>
              <w:br/>
              <w:t xml:space="preserve">  "circuit_breaker.state": "OPEN",</w:t>
              <w:br/>
              <w:t xml:space="preserve">  "transaction.id": "TXN-20260828-091182",</w:t>
              <w:br/>
              <w:t xml:space="preserve">  "idempotency.key": "8a9c1182-4f22-4211-9a3b-11f26e95c1a0",</w:t>
              <w:br/>
              <w:t xml:space="preserve">  "message": "Downstream Finacle Core Engine unresponsive. Request rejected by circuit breaker."</w:t>
              <w:br/>
              <w:t>}</w:t>
            </w:r>
          </w:p>
        </w:tc>
      </w:tr>
    </w:tbl>
    <w:p>
      <w:pPr>
        <w:keepNext/>
        <w:spacing w:before="360" w:after="120"/>
      </w:pPr>
      <w:r>
        <w:rPr>
          <w:rFonts w:ascii="Arial" w:hAnsi="Arial"/>
          <w:b/>
          <w:color w:val="0A2540"/>
          <w:sz w:val="30"/>
        </w:rPr>
        <w:t>4. Corrective Action Plan &amp; Preventive Measures</w:t>
      </w:r>
    </w:p>
    <w:tbl>
      <w:tblPr>
        <w:tblW w:type="auto" w:w="0"/>
        <w:jc w:val="center"/>
        <w:tblLook w:firstColumn="1" w:firstRow="1" w:lastColumn="0" w:lastRow="0" w:noHBand="0" w:noVBand="1" w:val="04A0"/>
      </w:tblPr>
      <w:tblGrid>
        <w:gridCol w:w="2340"/>
        <w:gridCol w:w="2340"/>
        <w:gridCol w:w="2340"/>
        <w:gridCol w:w="2340"/>
      </w:tblGrid>
      <w:tr>
        <w:tc>
          <w:tcPr>
            <w:tcW w:type="dxa" w:w="3600"/>
            <w:shd w:fill="0A2540"/>
            <w:tcMar>
              <w:top w:w="80" w:type="dxa"/>
              <w:bottom w:w="80" w:type="dxa"/>
              <w:left w:w="100" w:type="dxa"/>
              <w:right w:w="100" w:type="dxa"/>
            </w:tcMar>
          </w:tcPr>
          <w:p>
            <w:r>
              <w:rPr>
                <w:b/>
                <w:color w:val="FFFFFF"/>
              </w:rPr>
              <w:t>Action Item</w:t>
            </w:r>
          </w:p>
        </w:tc>
        <w:tc>
          <w:tcPr>
            <w:tcW w:type="dxa" w:w="1872"/>
            <w:shd w:fill="0A2540"/>
            <w:tcMar>
              <w:top w:w="80" w:type="dxa"/>
              <w:bottom w:w="80" w:type="dxa"/>
              <w:left w:w="100" w:type="dxa"/>
              <w:right w:w="100" w:type="dxa"/>
            </w:tcMar>
          </w:tcPr>
          <w:p>
            <w:r>
              <w:rPr>
                <w:b/>
                <w:color w:val="FFFFFF"/>
              </w:rPr>
              <w:t>Category</w:t>
            </w:r>
          </w:p>
        </w:tc>
        <w:tc>
          <w:tcPr>
            <w:tcW w:type="dxa" w:w="2160"/>
            <w:shd w:fill="0A2540"/>
            <w:tcMar>
              <w:top w:w="80" w:type="dxa"/>
              <w:bottom w:w="80" w:type="dxa"/>
              <w:left w:w="100" w:type="dxa"/>
              <w:right w:w="100" w:type="dxa"/>
            </w:tcMar>
          </w:tcPr>
          <w:p>
            <w:r>
              <w:rPr>
                <w:b/>
                <w:color w:val="FFFFFF"/>
              </w:rPr>
              <w:t>Assignee / Team</w:t>
            </w:r>
          </w:p>
        </w:tc>
        <w:tc>
          <w:tcPr>
            <w:tcW w:type="dxa" w:w="1728"/>
            <w:shd w:fill="0A2540"/>
            <w:tcMar>
              <w:top w:w="80" w:type="dxa"/>
              <w:bottom w:w="80" w:type="dxa"/>
              <w:left w:w="100" w:type="dxa"/>
              <w:right w:w="100" w:type="dxa"/>
            </w:tcMar>
          </w:tcPr>
          <w:p>
            <w:r>
              <w:rPr>
                <w:b/>
                <w:color w:val="FFFFFF"/>
              </w:rPr>
              <w:t>Target Due Date</w:t>
            </w:r>
          </w:p>
        </w:tc>
      </w:tr>
      <w:tr>
        <w:tc>
          <w:tcPr>
            <w:tcW w:type="dxa" w:w="3600"/>
            <w:shd w:fill="F8FAFC"/>
            <w:tcMar>
              <w:top w:w="70" w:type="dxa"/>
              <w:bottom w:w="70" w:type="dxa"/>
              <w:left w:w="100" w:type="dxa"/>
              <w:right w:w="100" w:type="dxa"/>
            </w:tcMar>
          </w:tcPr>
          <w:p>
            <w:r>
              <w:rPr>
                <w:b/>
              </w:rPr>
              <w:t>Increase gRPC client connection pool size from 50 to 200 channels.</w:t>
            </w:r>
          </w:p>
        </w:tc>
        <w:tc>
          <w:tcPr>
            <w:tcW w:type="dxa" w:w="1872"/>
            <w:shd w:fill="F8FAFC"/>
            <w:tcMar>
              <w:top w:w="70" w:type="dxa"/>
              <w:bottom w:w="70" w:type="dxa"/>
              <w:left w:w="100" w:type="dxa"/>
              <w:right w:w="100" w:type="dxa"/>
            </w:tcMar>
          </w:tcPr>
          <w:p>
            <w:r>
              <w:t>Infrastructure</w:t>
            </w:r>
          </w:p>
        </w:tc>
        <w:tc>
          <w:tcPr>
            <w:tcW w:type="dxa" w:w="2160"/>
            <w:shd w:fill="F8FAFC"/>
            <w:tcMar>
              <w:top w:w="70" w:type="dxa"/>
              <w:bottom w:w="70" w:type="dxa"/>
              <w:left w:w="100" w:type="dxa"/>
              <w:right w:w="100" w:type="dxa"/>
            </w:tcMar>
          </w:tcPr>
          <w:p>
            <w:r>
              <w:t>DevOps / SRE Team</w:t>
            </w:r>
          </w:p>
        </w:tc>
        <w:tc>
          <w:tcPr>
            <w:tcW w:type="dxa" w:w="1728"/>
            <w:shd w:fill="F8FAFC"/>
            <w:tcMar>
              <w:top w:w="70" w:type="dxa"/>
              <w:bottom w:w="70" w:type="dxa"/>
              <w:left w:w="100" w:type="dxa"/>
              <w:right w:w="100" w:type="dxa"/>
            </w:tcMar>
          </w:tcPr>
          <w:p>
            <w:r>
              <w:t>31-Aug-2026</w:t>
            </w:r>
          </w:p>
        </w:tc>
      </w:tr>
      <w:tr>
        <w:tc>
          <w:tcPr>
            <w:tcW w:type="dxa" w:w="3600"/>
            <w:shd w:fill="FFFFFF"/>
            <w:tcMar>
              <w:top w:w="70" w:type="dxa"/>
              <w:bottom w:w="70" w:type="dxa"/>
              <w:left w:w="100" w:type="dxa"/>
              <w:right w:w="100" w:type="dxa"/>
            </w:tcMar>
          </w:tcPr>
          <w:p>
            <w:r>
              <w:rPr>
                <w:b/>
              </w:rPr>
              <w:t>Implement dynamic gRPC deadline backoff based on queue depth metrics.</w:t>
            </w:r>
          </w:p>
        </w:tc>
        <w:tc>
          <w:tcPr>
            <w:tcW w:type="dxa" w:w="1872"/>
            <w:shd w:fill="FFFFFF"/>
            <w:tcMar>
              <w:top w:w="70" w:type="dxa"/>
              <w:bottom w:w="70" w:type="dxa"/>
              <w:left w:w="100" w:type="dxa"/>
              <w:right w:w="100" w:type="dxa"/>
            </w:tcMar>
          </w:tcPr>
          <w:p>
            <w:r>
              <w:t>Application Code</w:t>
            </w:r>
          </w:p>
        </w:tc>
        <w:tc>
          <w:tcPr>
            <w:tcW w:type="dxa" w:w="2160"/>
            <w:shd w:fill="FFFFFF"/>
            <w:tcMar>
              <w:top w:w="70" w:type="dxa"/>
              <w:bottom w:w="70" w:type="dxa"/>
              <w:left w:w="100" w:type="dxa"/>
              <w:right w:w="100" w:type="dxa"/>
            </w:tcMar>
          </w:tcPr>
          <w:p>
            <w:r>
              <w:t>Backend Core Team</w:t>
            </w:r>
          </w:p>
        </w:tc>
        <w:tc>
          <w:tcPr>
            <w:tcW w:type="dxa" w:w="1728"/>
            <w:shd w:fill="FFFFFF"/>
            <w:tcMar>
              <w:top w:w="70" w:type="dxa"/>
              <w:bottom w:w="70" w:type="dxa"/>
              <w:left w:w="100" w:type="dxa"/>
              <w:right w:w="100" w:type="dxa"/>
            </w:tcMar>
          </w:tcPr>
          <w:p>
            <w:r>
              <w:t>04-Sep-2026</w:t>
            </w:r>
          </w:p>
        </w:tc>
      </w:tr>
      <w:tr>
        <w:tc>
          <w:tcPr>
            <w:tcW w:type="dxa" w:w="3600"/>
            <w:shd w:fill="F8FAFC"/>
            <w:tcMar>
              <w:top w:w="70" w:type="dxa"/>
              <w:bottom w:w="70" w:type="dxa"/>
              <w:left w:w="100" w:type="dxa"/>
              <w:right w:w="100" w:type="dxa"/>
            </w:tcMar>
          </w:tcPr>
          <w:p>
            <w:r>
              <w:rPr>
                <w:b/>
              </w:rPr>
              <w:t>Add automated synthetic health check probing Finacle engine latency.</w:t>
            </w:r>
          </w:p>
        </w:tc>
        <w:tc>
          <w:tcPr>
            <w:tcW w:type="dxa" w:w="1872"/>
            <w:shd w:fill="F8FAFC"/>
            <w:tcMar>
              <w:top w:w="70" w:type="dxa"/>
              <w:bottom w:w="70" w:type="dxa"/>
              <w:left w:w="100" w:type="dxa"/>
              <w:right w:w="100" w:type="dxa"/>
            </w:tcMar>
          </w:tcPr>
          <w:p>
            <w:r>
              <w:t>Observability</w:t>
            </w:r>
          </w:p>
        </w:tc>
        <w:tc>
          <w:tcPr>
            <w:tcW w:type="dxa" w:w="2160"/>
            <w:shd w:fill="F8FAFC"/>
            <w:tcMar>
              <w:top w:w="70" w:type="dxa"/>
              <w:bottom w:w="70" w:type="dxa"/>
              <w:left w:w="100" w:type="dxa"/>
              <w:right w:w="100" w:type="dxa"/>
            </w:tcMar>
          </w:tcPr>
          <w:p>
            <w:r>
              <w:t>Datadog / SRE Practice</w:t>
            </w:r>
          </w:p>
        </w:tc>
        <w:tc>
          <w:tcPr>
            <w:tcW w:type="dxa" w:w="1728"/>
            <w:shd w:fill="F8FAFC"/>
            <w:tcMar>
              <w:top w:w="70" w:type="dxa"/>
              <w:bottom w:w="70" w:type="dxa"/>
              <w:left w:w="100" w:type="dxa"/>
              <w:right w:w="100" w:type="dxa"/>
            </w:tcMar>
          </w:tcPr>
          <w:p>
            <w:r>
              <w:t>02-Sep-2026</w:t>
            </w:r>
          </w:p>
        </w:tc>
      </w:tr>
      <w:tr>
        <w:tc>
          <w:tcPr>
            <w:tcW w:type="dxa" w:w="3600"/>
            <w:shd w:fill="FFFFFF"/>
            <w:tcMar>
              <w:top w:w="70" w:type="dxa"/>
              <w:bottom w:w="70" w:type="dxa"/>
              <w:left w:w="100" w:type="dxa"/>
              <w:right w:w="100" w:type="dxa"/>
            </w:tcMar>
          </w:tcPr>
          <w:p>
            <w:r>
              <w:rPr>
                <w:b/>
              </w:rPr>
              <w:t>Conduct chaos engineering test simulating 10,000 TPS payment spikes.</w:t>
            </w:r>
          </w:p>
        </w:tc>
        <w:tc>
          <w:tcPr>
            <w:tcW w:type="dxa" w:w="1872"/>
            <w:shd w:fill="FFFFFF"/>
            <w:tcMar>
              <w:top w:w="70" w:type="dxa"/>
              <w:bottom w:w="70" w:type="dxa"/>
              <w:left w:w="100" w:type="dxa"/>
              <w:right w:w="100" w:type="dxa"/>
            </w:tcMar>
          </w:tcPr>
          <w:p>
            <w:r>
              <w:t>QA / Testing</w:t>
            </w:r>
          </w:p>
        </w:tc>
        <w:tc>
          <w:tcPr>
            <w:tcW w:type="dxa" w:w="2160"/>
            <w:shd w:fill="FFFFFF"/>
            <w:tcMar>
              <w:top w:w="70" w:type="dxa"/>
              <w:bottom w:w="70" w:type="dxa"/>
              <w:left w:w="100" w:type="dxa"/>
              <w:right w:w="100" w:type="dxa"/>
            </w:tcMar>
          </w:tcPr>
          <w:p>
            <w:r>
              <w:t>Performance Testing Team</w:t>
            </w:r>
          </w:p>
        </w:tc>
        <w:tc>
          <w:tcPr>
            <w:tcW w:type="dxa" w:w="1728"/>
            <w:shd w:fill="FFFFFF"/>
            <w:tcMar>
              <w:top w:w="70" w:type="dxa"/>
              <w:bottom w:w="70" w:type="dxa"/>
              <w:left w:w="100" w:type="dxa"/>
              <w:right w:w="100" w:type="dxa"/>
            </w:tcMar>
          </w:tcPr>
          <w:p>
            <w:r>
              <w:t>10-Sep-2026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