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066CC"/>
          <w:sz w:val="24"/>
        </w:rPr>
        <w:t>SOFTWARE REQUIREMENTS SPECIFICATION (SRS)</w:t>
      </w:r>
    </w:p>
    <w:p>
      <w:pPr>
        <w:spacing w:after="200"/>
      </w:pPr>
      <w:r>
        <w:rPr>
          <w:b/>
          <w:color w:val="0A2540"/>
          <w:sz w:val="48"/>
        </w:rPr>
        <w:t>Next-Gen Enterprise Digital Banking Platform</w:t>
      </w:r>
    </w:p>
    <w:p>
      <w:pPr>
        <w:spacing w:after="400"/>
      </w:pPr>
      <w:r>
        <w:rPr>
          <w:i/>
          <w:color w:val="64748B"/>
          <w:sz w:val="21"/>
        </w:rPr>
        <w:t>System Architecture, Technical Specifications, Microservices APIs, Interface Definitions, and Requirements Traceability Matrix (RTM)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Ref ID: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INF-SRS-FIN-2026-0188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Parent BRD Ref: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INF-BRD-FIN-2026-0094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System Architecture: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Cloud-Native Event-Driven Microservices (Kubernetes / Kafka)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Author / Tech Lead: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Infosys FS Architecture Practice &amp; Lead Systems Analyst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1.0 (Engineering Baseline)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August 1,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1. Introduction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1.1 Purpose</w:t>
      </w:r>
    </w:p>
    <w:p>
      <w:r>
        <w:t>This Software Requirements Specification (SRS) defines the complete technical, functional, microservice, API, and non-functional specifications for the Next-Gen Enterprise Digital Banking Platform (EDBP). It provides the definitive technical baseline for software developers, system architects, QA engineers, and DevOps specialists implementing the platform.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1.2 Document Conventions</w:t>
      </w:r>
    </w:p>
    <w:p>
      <w:r>
        <w:t>Requirements in this document follow standardized naming conventions:</w:t>
        <w:br/>
        <w:t>• SRS-MODULE-XXX: Technical requirement ID</w:t>
        <w:br/>
        <w:t>• [MUST / SHALL]: Mandatory requirement for system release</w:t>
        <w:br/>
        <w:t>• [SHOULD]: Highly recommended requirement</w:t>
        <w:br/>
        <w:t>• [MAY]: Optional or future phase requirement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1.3 System Overview &amp; Technology Stack</w:t>
      </w:r>
    </w:p>
    <w:p>
      <w:r>
        <w:t>The EDBP software stack is engineered using modern enterprise cloud technologies:</w:t>
      </w:r>
    </w:p>
    <w:p>
      <w:pPr>
        <w:pStyle w:val="ListBullet"/>
      </w:pPr>
      <w:r>
        <w:rPr>
          <w:b/>
          <w:color w:val="0066CC"/>
        </w:rPr>
        <w:t xml:space="preserve">Front-End Architecture: </w:t>
      </w:r>
      <w:r>
        <w:t>React.js Web App with Micro-Frontends, React Native for iOS/Android Corporate Mobile Apps.</w:t>
      </w:r>
    </w:p>
    <w:p>
      <w:pPr>
        <w:pStyle w:val="ListBullet"/>
      </w:pPr>
      <w:r>
        <w:rPr>
          <w:b/>
          <w:color w:val="0066CC"/>
        </w:rPr>
        <w:t xml:space="preserve">Microservices Layer: </w:t>
      </w:r>
      <w:r>
        <w:t>Java 21 Spring Boot 3.x, Go (High-throughput payment gateway), Spring Cloud Gateway.</w:t>
      </w:r>
    </w:p>
    <w:p>
      <w:pPr>
        <w:pStyle w:val="ListBullet"/>
      </w:pPr>
      <w:r>
        <w:rPr>
          <w:b/>
          <w:color w:val="0066CC"/>
        </w:rPr>
        <w:t xml:space="preserve">Event Streaming &amp; Messaging: </w:t>
      </w:r>
      <w:r>
        <w:t>Apache Kafka for event-driven async messaging, RabbitMQ for transactional queueing.</w:t>
      </w:r>
    </w:p>
    <w:p>
      <w:pPr>
        <w:pStyle w:val="ListBullet"/>
      </w:pPr>
      <w:r>
        <w:rPr>
          <w:b/>
          <w:color w:val="0066CC"/>
        </w:rPr>
        <w:t xml:space="preserve">Database Layer: </w:t>
      </w:r>
      <w:r>
        <w:t>PostgreSQL (ACID-compliant relational transactional data), Redis Cluster (Distributed Caching), MongoDB (Audit logs/Unstructured docs).</w:t>
      </w:r>
    </w:p>
    <w:p>
      <w:pPr>
        <w:pStyle w:val="ListBullet"/>
      </w:pPr>
      <w:r>
        <w:rPr>
          <w:b/>
          <w:color w:val="0066CC"/>
        </w:rPr>
        <w:t xml:space="preserve">API Gateway &amp; Security: </w:t>
      </w:r>
      <w:r>
        <w:t>Kong Enterprise API Gateway, OAuth2 / OIDC with PingFederate, HashiCorp Vault for secrets management.</w:t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2. System Architecture &amp; External Interfaces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2.1 High-Level Microservices Architecture</w:t>
      </w:r>
    </w:p>
    <w:p>
      <w:r>
        <w:t>The system is decomposed into domain-driven microservices operating inside a high-availability Kubernetes cluster (EKS/AKS). All client requests pass through an API Gateway enforcing TLS 1.3, rate limiting, and JWT validation.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2.2 Interface Protocols &amp; Data Formats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Interface Name</w:t>
            </w:r>
          </w:p>
        </w:tc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Protocol / Channel</w:t>
            </w:r>
          </w:p>
        </w:tc>
        <w:tc>
          <w:tcPr>
            <w:tcW w:type="dxa" w:w="244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Message / Schema Format</w:t>
            </w:r>
          </w:p>
        </w:tc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Auth / Encryption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Core Banking API (Finacle)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REST / gRPC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JSON / ProtoBuf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mTLS + OAuth 2.0 Client Credentials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SWIFT Network Gateway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SWIFT Alliance / MQ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ISO 20022 XML (pacs.008, pacs.009)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SWIFT PKI &amp; SAG Token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Corporate ERP Connector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REST API / SFTP Host-to-Host</w:t>
            </w:r>
          </w:p>
        </w:tc>
        <w:tc>
          <w:tcPr>
            <w:tcW w:type="dxa" w:w="244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ISO 20022 / JSON / CSV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mTLS + PGP File Encryption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Sanctions / Fraud Engine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REST API</w:t>
            </w:r>
          </w:p>
        </w:tc>
        <w:tc>
          <w:tcPr>
            <w:tcW w:type="dxa" w:w="244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JSON Payload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mTLS + JWT Bearer Token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3. Detailed Functional &amp; Service Specifications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3.1 Core Service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Module &amp; SRS ID</w:t>
            </w:r>
          </w:p>
        </w:tc>
        <w:tc>
          <w:tcPr>
            <w:tcW w:type="dxa" w:w="259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Component / Service</w:t>
            </w:r>
          </w:p>
        </w:tc>
        <w:tc>
          <w:tcPr>
            <w:tcW w:type="dxa" w:w="316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Technical Functional Specification</w:t>
            </w:r>
          </w:p>
        </w:tc>
        <w:tc>
          <w:tcPr>
            <w:tcW w:type="dxa" w:w="144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Parent BRD ID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SRS-MS-ACC-001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Account Liquidity Service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Expose endpoint GET /api/v1/accounts/balances returning real-time consolidated ledger balance, available balance, and currency code in &lt; 200ms.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FR-ACC-01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SRS-MS-PAY-001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Bulk Payment Processor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Parse uploaded pain.001 ISO 20022 XML files up to 500MB, validate schema, split into individual transactions, and push to Kafka topic 'payment-pipeline'.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FR-PAY-01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SRS-MS-PAY-002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Sanctions Screening Proxy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Invoke AML proxy REST API synchronously for each transaction before execution. Reject payment if risk score &gt; 85.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FR-PAY-03</w:t>
            </w:r>
          </w:p>
        </w:tc>
      </w:tr>
      <w:tr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SRS-MS-SEC-001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Matrix Authorization Engine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Evaluate multi-tier approval rules against user signing limits, account group, and authorization matrix database tables.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FR-SEC-01</w:t>
            </w:r>
          </w:p>
        </w:tc>
      </w:tr>
      <w:tr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SRS-MS-VAM-001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Virtual Account Routing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Intercept incoming credit notifications, resolve sub-virtual IBAN to master account, and generate instant reconciliation event.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FR-ACC-04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3.2 API Schema Endpoint Specification (Sample API Definition)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REST API CONTRACT (POST PAYMENT): </w:t>
            </w:r>
            <w:r>
              <w:rPr>
                <w:color w:val="0F172A"/>
              </w:rPr>
              <w:t>POST /api/v1/payments/transfers</w:t>
              <w:br/>
              <w:t>Header: Authorization: Bearer &lt;JWT&gt;, X-Idempotency-Key: &lt;UUID&gt;</w:t>
              <w:br/>
              <w:t>Body: {</w:t>
              <w:br/>
              <w:t xml:space="preserve">  "debtorAccountId": "ACC-US-99128",</w:t>
              <w:br/>
              <w:t xml:space="preserve">  "creditorBic": "CHASUS33XXX",</w:t>
              <w:br/>
              <w:t xml:space="preserve">  "creditorIban": "US89370400028819",</w:t>
              <w:br/>
              <w:t xml:space="preserve">  "amount": 2500000.00,</w:t>
              <w:br/>
              <w:t xml:space="preserve">  "currency": "USD",</w:t>
              <w:br/>
              <w:t xml:space="preserve">  "chargeBearer": "DEBT",</w:t>
              <w:br/>
              <w:t xml:space="preserve">  "paymentExecutionDate": "2026-08-05"</w:t>
              <w:br/>
              <w:t>}</w:t>
              <w:br/>
              <w:t>Response 202 Accepted: { "paymentId": "PAY-202688921", "status": "PENDING_APPROVAL" }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4. Non-Functional Technical Requirements (NFRs)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Technical Category</w:t>
            </w:r>
          </w:p>
        </w:tc>
        <w:tc>
          <w:tcPr>
            <w:tcW w:type="dxa" w:w="388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Specification Requirement</w:t>
            </w:r>
          </w:p>
        </w:tc>
        <w:tc>
          <w:tcPr>
            <w:tcW w:type="dxa" w:w="288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Validation / Benchmark Metric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Latency &amp; Throughput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Peak load processing capacity &gt;= 5,000 TPS; API response p99 &lt;= 450ms.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JMeter Stress Testing in Staging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High Availability (HA)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Multi-AZ Kubernetes deployment with Pod Disruption Budgets ensuring 99.99% uptime.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Synthetic Monitoring &amp; Chaos Mesh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Data Security &amp; Cryptography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AES-256 GCM database encryption; TLS 1.3 enforced; Secrets fetched from Vault at runtime.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SonarQube &amp; Veracode SAST/DAST Audits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Audit &amp; Traceability</w:t>
            </w:r>
          </w:p>
        </w:tc>
        <w:tc>
          <w:tcPr>
            <w:tcW w:type="dxa" w:w="388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All HTTP requests, database mutations, and admin overrides logged with WORM compliance.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Splunk / ELK Immutable Index Validation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Disaster Recovery</w:t>
            </w:r>
          </w:p>
        </w:tc>
        <w:tc>
          <w:tcPr>
            <w:tcW w:type="dxa" w:w="388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Automated PostgreSQL streaming replication across primary and secondary regions (RPO=0, RTO &lt; 15m).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Quarterly Automated DR Failover Drills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5. Requirements Traceability Matrix (RTM)</w:t>
      </w:r>
    </w:p>
    <w:p>
      <w:r>
        <w:t>The RTM ensures complete end-to-end traceability from Business Requirements (BRD) to Software Requirements (SRS), System Microservices, and Test Suite Cases.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BRD Ref</w:t>
            </w:r>
          </w:p>
        </w:tc>
        <w:tc>
          <w:tcPr>
            <w:tcW w:type="dxa" w:w="187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SRS Technical ID</w:t>
            </w:r>
          </w:p>
        </w:tc>
        <w:tc>
          <w:tcPr>
            <w:tcW w:type="dxa" w:w="2304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Target Microservice</w:t>
            </w:r>
          </w:p>
        </w:tc>
        <w:tc>
          <w:tcPr>
            <w:tcW w:type="dxa" w:w="2304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API Endpoint</w:t>
            </w:r>
          </w:p>
        </w:tc>
        <w:tc>
          <w:tcPr>
            <w:tcW w:type="dxa" w:w="144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Test Case Suite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FR-ACC-01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SRS-MS-ACC-001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Account-Liquidity-Svc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GET /api/v1/accounts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TC-ACC-01 to 08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FR-PAY-01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SRS-MS-PAY-001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Batch-Payment-Svc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POST /api/v1/batch/upload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TC-PAY-10 to 25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FR-PAY-03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SRS-MS-PAY-002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Sanctions-Proxy-Svc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POST /api/v1/sanctions/check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TC-PAY-30 to 42</w:t>
            </w:r>
          </w:p>
        </w:tc>
      </w:tr>
      <w:tr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FR-SEC-01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SRS-MS-SEC-001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Entitlements-Engine</w:t>
            </w:r>
          </w:p>
        </w:tc>
        <w:tc>
          <w:tcPr>
            <w:tcW w:type="dxa" w:w="2304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POST /api/v1/auth/evaluate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TC-SEC-01 to 15</w:t>
            </w:r>
          </w:p>
        </w:tc>
      </w:tr>
      <w:tr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FR-ACC-04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SRS-MS-VAM-001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Virtual-Account-Svc</w:t>
            </w:r>
          </w:p>
        </w:tc>
        <w:tc>
          <w:tcPr>
            <w:tcW w:type="dxa" w:w="2304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POST /api/v1/vam/accounts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TC-VAM-01 to 12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6. Architecture Review &amp; Sign-Off Block</w:t>
      </w:r>
    </w:p>
    <w:p>
      <w:r>
        <w:t>The technical specifications detailed in this SRS have been reviewed and approved by the engineering leadership team.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Sign-Off Role</w:t>
            </w:r>
          </w:p>
        </w:tc>
        <w:tc>
          <w:tcPr>
            <w:tcW w:type="dxa" w:w="316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Name &amp; Title</w:t>
            </w:r>
          </w:p>
        </w:tc>
        <w:tc>
          <w:tcPr>
            <w:tcW w:type="dxa" w:w="187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Review Status</w:t>
            </w:r>
          </w:p>
        </w:tc>
        <w:tc>
          <w:tcPr>
            <w:tcW w:type="dxa" w:w="172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Date Approved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Lead Enterprise Architect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Vikram Kulkarni (Infosys)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APPROVED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01-Aug-2026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Chief Software Architect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Rajesh Nair (Client IT)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APPROVED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01-Aug-2026</w:t>
            </w:r>
          </w:p>
        </w:tc>
      </w:tr>
      <w:tr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Lead Security Architect</w:t>
            </w:r>
          </w:p>
        </w:tc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Elena Rostova (CISO Office)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APPROVED</w:t>
            </w:r>
          </w:p>
        </w:tc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01-Aug-2026</w:t>
            </w:r>
          </w:p>
        </w:tc>
      </w:tr>
      <w:tr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QA &amp; Testing Lead</w:t>
            </w:r>
          </w:p>
        </w:tc>
        <w:tc>
          <w:tcPr>
            <w:tcW w:type="dxa" w:w="31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Suresh Menon (Delivery)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color w:val="10B981"/>
              </w:rPr>
              <w:t>APPROVED</w:t>
            </w:r>
          </w:p>
        </w:tc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01-Aug-2026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