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b/>
          <w:color w:val="0066CC"/>
          <w:sz w:val="24"/>
        </w:rPr>
        <w:t>BUSINESS REQUIREMENT DOCUMENT (BRD)</w:t>
      </w:r>
    </w:p>
    <w:p>
      <w:pPr>
        <w:spacing w:after="240"/>
      </w:pPr>
      <w:r>
        <w:rPr>
          <w:b/>
          <w:color w:val="0A2540"/>
          <w:sz w:val="52"/>
        </w:rPr>
        <w:t>Next-Gen Enterprise Digital Banking Platform</w:t>
      </w:r>
    </w:p>
    <w:p>
      <w:pPr>
        <w:spacing w:after="480"/>
      </w:pPr>
      <w:r>
        <w:rPr>
          <w:i/>
          <w:color w:val="64748B"/>
          <w:sz w:val="22"/>
        </w:rPr>
        <w:t>Comprehensive Functional, Non-Functional &amp; System Specification for Commercial &amp; Corporate Digital Banking Transformation</w:t>
      </w:r>
    </w:p>
    <w:p>
      <w:pPr>
        <w:keepNext/>
        <w:spacing w:before="280" w:after="80"/>
      </w:pPr>
      <w:r>
        <w:rPr>
          <w:rFonts w:ascii="Arial" w:hAnsi="Arial"/>
          <w:b/>
          <w:color w:val="0066CC"/>
          <w:sz w:val="26"/>
        </w:rPr>
        <w:t>Document Control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ID: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INF-BRD-FIN-2026-0094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Enterprise Digital Banking Transformation (EDBP)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Client Org / BU: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Global Commercial &amp; Corporate Banking Division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Infosys Financial Services Practice (FS-CoE)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2.0 (Final Draft for Sign-off)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of Last Revision: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July 30, 2026</w:t>
            </w:r>
          </w:p>
        </w:tc>
      </w:tr>
    </w:tbl>
    <w:p>
      <w:pPr>
        <w:spacing w:before="240"/>
      </w:pPr>
    </w:p>
    <w:p>
      <w:pPr>
        <w:keepNext/>
        <w:spacing w:before="280" w:after="80"/>
      </w:pPr>
      <w:r>
        <w:rPr>
          <w:rFonts w:ascii="Arial" w:hAnsi="Arial"/>
          <w:b/>
          <w:color w:val="0066CC"/>
          <w:sz w:val="26"/>
        </w:rP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Ver.</w:t>
            </w:r>
          </w:p>
        </w:tc>
        <w:tc>
          <w:tcPr>
            <w:tcW w:type="dxa" w:w="144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304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Author / Role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Description of Changes</w:t>
            </w:r>
          </w:p>
        </w:tc>
        <w:tc>
          <w:tcPr>
            <w:tcW w:type="dxa" w:w="144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Approved By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0.1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12-May-2026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A. Sharma (Lead BA)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Initial Draft based on Discovery Workshops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M. Redman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15-Jun-2026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A. Sharma (Lead BA)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Incorporated Trade Finance &amp; Liquidity Modules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M. Redman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2.0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30-Jul-2026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V. Kulkarni (Enterprise Arch)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Updated Security, NFRs, API Gateway &amp; PSD2 Specifications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Steering Committee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2"/>
        </w:rPr>
        <w:t>1. Executive Summary &amp; Business Context</w:t>
      </w:r>
    </w:p>
    <w:p>
      <w:pPr>
        <w:keepNext/>
        <w:spacing w:before="280" w:after="80"/>
      </w:pPr>
      <w:r>
        <w:rPr>
          <w:rFonts w:ascii="Arial" w:hAnsi="Arial"/>
          <w:b/>
          <w:color w:val="0066CC"/>
          <w:sz w:val="26"/>
        </w:rPr>
        <w:t>1.1 Executive Summary</w:t>
      </w:r>
    </w:p>
    <w:p>
      <w:r>
        <w:t>The Enterprise Digital Banking Platform (EDBP) initiative aims to replace legacy corporate banking channels with a unified, cloud-native, microservices-driven digital banking portal and mobile platform. The platform will cater to SME, Mid-Market, and Large Global Corporate clients, delivering seamless cash management, trade finance, cross-border payments, virtual account management (VAM), and liquidity optimization.</w:t>
      </w:r>
    </w:p>
    <w:p>
      <w:r>
        <w:t>This Business Requirement Document (BRD) details the comprehensive functional, non-functional, integration, and security requirements necessary to engineer an enterprise-grade digital platform capable of processing over $5 Billion in daily transactions with 99.99% system availability.</w:t>
      </w:r>
    </w:p>
    <w:p>
      <w:pPr>
        <w:keepNext/>
        <w:spacing w:before="280" w:after="80"/>
      </w:pPr>
      <w:r>
        <w:rPr>
          <w:rFonts w:ascii="Arial" w:hAnsi="Arial"/>
          <w:b/>
          <w:color w:val="0066CC"/>
          <w:sz w:val="26"/>
        </w:rPr>
        <w:t>1.2 Problem Statement</w:t>
      </w:r>
    </w:p>
    <w:p>
      <w:r>
        <w:t>The bank's current corporate banking infrastructure suffers from several strategic challenges:</w:t>
        <w:br/>
      </w:r>
    </w:p>
    <w:p>
      <w:pPr>
        <w:pStyle w:val="ListBullet"/>
      </w:pPr>
      <w:r>
        <w:t>Fragmented User Experience: Corporate treasurers must log into three distinct portals for Cash Management, Trade Finance, and FX Trading.</w:t>
      </w:r>
    </w:p>
    <w:p>
      <w:pPr>
        <w:pStyle w:val="ListBullet"/>
      </w:pPr>
      <w:r>
        <w:t>High Processing Latency: Batch-oriented core processing delays batch payment processing, causing SLA breaches on international SWIFT transfers.</w:t>
      </w:r>
    </w:p>
    <w:p>
      <w:pPr>
        <w:pStyle w:val="ListBullet"/>
      </w:pPr>
      <w:r>
        <w:t>Rigid Entitlement Engine: Incumbent system lacks granular multi-tiered authorization matrix (matrix signing rules, threshold-based approvals, and contingent workflow delegation).</w:t>
      </w:r>
    </w:p>
    <w:p>
      <w:pPr>
        <w:pStyle w:val="ListBullet"/>
      </w:pPr>
      <w:r>
        <w:t>Legacy API Capabilities: Inability to support real-time Open Banking / Embedded Finance integrations for corporate ERPs (SAP, Oracle, NetSuite).</w:t>
      </w:r>
    </w:p>
    <w:p>
      <w:pPr>
        <w:keepNext/>
        <w:spacing w:before="280" w:after="80"/>
      </w:pPr>
      <w:r>
        <w:rPr>
          <w:rFonts w:ascii="Arial" w:hAnsi="Arial"/>
          <w:b/>
          <w:color w:val="0066CC"/>
          <w:sz w:val="26"/>
        </w:rPr>
        <w:t>1.3 Strategic Business Objectives</w:t>
      </w:r>
    </w:p>
    <w:p>
      <w:r>
        <w:t>The platform transformation is designed to achieve the following quantifiable business outcomes within 18 months of go-live: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Strategic Metric</w:t>
            </w:r>
          </w:p>
        </w:tc>
        <w:tc>
          <w:tcPr>
            <w:tcW w:type="dxa" w:w="288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Current Baseline</w:t>
            </w:r>
          </w:p>
        </w:tc>
        <w:tc>
          <w:tcPr>
            <w:tcW w:type="dxa" w:w="288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Target Post-EDBP Launch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Corporate Client Onboarding Time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14 Days (Paper-heavy)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&lt; 48 Hours (Fully Digital &amp; e-KYC)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STP (Straight-Through-Processing) Rate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68% across cross-border payments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&gt; 95% Automated Processing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ERP API Integration Latency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Batch File Transfer (T+1)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Real-time REST API (&lt; 300ms)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System Uptime SLA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99.5% Availability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99.99% High Availability (Active-Active)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2"/>
        </w:rPr>
        <w:t>2. Project Scope &amp; Boundaries</w:t>
      </w:r>
    </w:p>
    <w:p>
      <w:pPr>
        <w:keepNext/>
        <w:spacing w:before="280" w:after="80"/>
      </w:pPr>
      <w:r>
        <w:rPr>
          <w:rFonts w:ascii="Arial" w:hAnsi="Arial"/>
          <w:b/>
          <w:color w:val="0066CC"/>
          <w:sz w:val="26"/>
        </w:rPr>
        <w:t>2.1 In-Scope Functional Modules</w:t>
      </w:r>
    </w:p>
    <w:p>
      <w:r>
        <w:t>The EDBP platform will deliver functional capabilities across six primary domains:</w:t>
      </w:r>
    </w:p>
    <w:p>
      <w:pPr>
        <w:pStyle w:val="ListBullet"/>
      </w:pPr>
      <w:r>
        <w:rPr>
          <w:b/>
          <w:color w:val="0066CC"/>
        </w:rPr>
        <w:t xml:space="preserve">Account Aggregation &amp; Liquidity: </w:t>
      </w:r>
      <w:r>
        <w:t>Real-time global account balance visibility, multi-bank aggregation (MT940/CAMT.053), physical sweeping, and virtual pooling.</w:t>
      </w:r>
    </w:p>
    <w:p>
      <w:pPr>
        <w:pStyle w:val="ListBullet"/>
      </w:pPr>
      <w:r>
        <w:rPr>
          <w:b/>
          <w:color w:val="0066CC"/>
        </w:rPr>
        <w:t xml:space="preserve">Corporate Payments &amp; Receivables: </w:t>
      </w:r>
      <w:r>
        <w:t>Bulk payroll processing, ISO 20022 domestic/cross-border wires, ACH, Instant Payments (SEPA Instant/FedNow), and automated reconciliation.</w:t>
      </w:r>
    </w:p>
    <w:p>
      <w:pPr>
        <w:pStyle w:val="ListBullet"/>
      </w:pPr>
      <w:r>
        <w:rPr>
          <w:b/>
          <w:color w:val="0066CC"/>
        </w:rPr>
        <w:t xml:space="preserve">Trade &amp; Supply Chain Finance: </w:t>
      </w:r>
      <w:r>
        <w:t>Letters of Credit (LC) issuance, Bank Guarantees (BG), Invoice Discounting, and Supply Chain Finance (SCF) supplier portals.</w:t>
      </w:r>
    </w:p>
    <w:p>
      <w:pPr>
        <w:pStyle w:val="ListBullet"/>
      </w:pPr>
      <w:r>
        <w:rPr>
          <w:b/>
          <w:color w:val="0066CC"/>
        </w:rPr>
        <w:t xml:space="preserve">Granular Entitlements &amp; Workflows: </w:t>
      </w:r>
      <w:r>
        <w:t>Multi-entity matrix authorization engine, biometric mobile approvals, dual-custody, and custom approval workflow builders.</w:t>
      </w:r>
    </w:p>
    <w:p>
      <w:pPr>
        <w:pStyle w:val="ListBullet"/>
      </w:pPr>
      <w:r>
        <w:rPr>
          <w:b/>
          <w:color w:val="0066CC"/>
        </w:rPr>
        <w:t xml:space="preserve">Corporate Treasury &amp; FX Operations: </w:t>
      </w:r>
      <w:r>
        <w:t>Real-time FX booking, spot/forward contracts, hedging integration, and cash flow forecasting engines.</w:t>
      </w:r>
    </w:p>
    <w:p>
      <w:pPr>
        <w:pStyle w:val="ListBullet"/>
      </w:pPr>
      <w:r>
        <w:rPr>
          <w:b/>
          <w:color w:val="0066CC"/>
        </w:rPr>
        <w:t xml:space="preserve">Open Banking &amp; ERP Connectors: </w:t>
      </w:r>
      <w:r>
        <w:t>Pre-packaged API connectors for SAP S/4HANA, Oracle ERP Cloud, Microsoft Dynamics, and Host-to-Host (SFTP) file transfer channels.</w:t>
      </w:r>
    </w:p>
    <w:p>
      <w:pPr>
        <w:keepNext/>
        <w:spacing w:before="280" w:after="80"/>
      </w:pPr>
      <w:r>
        <w:rPr>
          <w:rFonts w:ascii="Arial" w:hAnsi="Arial"/>
          <w:b/>
          <w:color w:val="0066CC"/>
          <w:sz w:val="26"/>
        </w:rPr>
        <w:t>2.2 Out-of-Scope</w:t>
      </w:r>
    </w:p>
    <w:p>
      <w:pPr>
        <w:pStyle w:val="ListBullet"/>
      </w:pPr>
      <w:r>
        <w:t>Retail and Wealth Management consumer mobile applications (handled by legacy Retail platform).</w:t>
      </w:r>
    </w:p>
    <w:p>
      <w:pPr>
        <w:pStyle w:val="ListBullet"/>
      </w:pPr>
      <w:r>
        <w:t>Physical POS terminal deployment and hardware token manufacturing.</w:t>
      </w:r>
    </w:p>
    <w:p>
      <w:pPr>
        <w:pStyle w:val="ListBullet"/>
      </w:pPr>
      <w:r>
        <w:t>Core Banking Engine database schema re-architecture (EDBP will consume existing Core APIs).</w:t>
      </w:r>
    </w:p>
    <w:p>
      <w:pPr>
        <w:keepNext/>
        <w:spacing w:before="280" w:after="80"/>
      </w:pPr>
      <w:r>
        <w:rPr>
          <w:rFonts w:ascii="Arial" w:hAnsi="Arial"/>
          <w:b/>
          <w:color w:val="0066CC"/>
          <w:sz w:val="26"/>
        </w:rPr>
        <w:t>2.3 Key Project Assumptions &amp;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66CC"/>
              </w:rPr>
              <w:t xml:space="preserve">CRITICAL DEPENDENCY: </w:t>
            </w:r>
            <w:r>
              <w:rPr>
                <w:color w:val="0F172A"/>
              </w:rPr>
              <w:t>Platform execution assumes that the Enterprise API Gateway and Core Banking REST APIs will be upgraded to ISO 20022 message compliance by Q4 2026. Third-party HSM hardware security modules must be provisioned prior to UAT sign-off.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2"/>
        </w:rPr>
        <w:t>3. Functional Requirements Specification</w:t>
      </w:r>
    </w:p>
    <w:p>
      <w:r>
        <w:t>Requirements are uniquely identified and categorized by operational module with strict priority rankings (P1: Critical, P2: High, P3: Medium).</w:t>
      </w:r>
    </w:p>
    <w:p>
      <w:pPr>
        <w:keepNext/>
        <w:spacing w:before="280" w:after="80"/>
      </w:pPr>
      <w:r>
        <w:rPr>
          <w:rFonts w:ascii="Arial" w:hAnsi="Arial"/>
          <w:b/>
          <w:color w:val="0066CC"/>
          <w:sz w:val="26"/>
        </w:rPr>
        <w:t>3.1 Account Management &amp; Liquidity Module (FR-ACC)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360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Requirement Description</w:t>
            </w:r>
          </w:p>
        </w:tc>
        <w:tc>
          <w:tcPr>
            <w:tcW w:type="dxa" w:w="1152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168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FR-ACC-01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Global Real-Time Account Dashboard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6CC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Displays real-time balance across operating, escrow, and virtual accounts in &lt; 1 second.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FR-ACC-02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Multi-Bank Aggregation (SWIFT / Open Banking)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6CC"/>
              </w:rPr>
              <w:t>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Parse and ingest CAMT.053 and MT940 statements daily from external financial institutions.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FR-ACC-03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Automated Liquidity Sweeping &amp; Pooling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</w:rPr>
              <w:t>P2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Configure zero-balance accounting (ZBA) and target-balance sweeps based on automated schedule.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FR-ACC-04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Virtual Account Management (VAM)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6CC"/>
              </w:rPr>
              <w:t>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Support creation of sub-virtual accounts for client receivable auto-reconciliation.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066CC"/>
          <w:sz w:val="26"/>
        </w:rPr>
        <w:t>3.2 Corporate Payments &amp; Bulk Processing (FR-PAY)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360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Requirement Description</w:t>
            </w:r>
          </w:p>
        </w:tc>
        <w:tc>
          <w:tcPr>
            <w:tcW w:type="dxa" w:w="1152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168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FR-PAY-01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High-Volume Bulk Payroll &amp; Supplier Payments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6CC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Upload and process ISO 20022 XML / CSV batch files containing up to 100,000 transactions.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FR-PAY-02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Cross-Border Payments with SWIFT GPI Tracking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6CC"/>
              </w:rPr>
              <w:t>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End-to-end status visibility of international transfers via SWIFT GPI API with deduplication checks.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FR-PAY-03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Real-time Sanctions &amp; AML Screening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6CC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Pre-flight screening of payment recipient against OFAC, EU, and UN sanction lists within 200ms.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FR-PAY-04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Smart Payment Routing Engine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</w:rPr>
              <w:t>P2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Automated selection of execution rail (ACH, FedNow, Wire, SWIFT) based on urgency, fee, and cutoff times.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066CC"/>
          <w:sz w:val="26"/>
        </w:rPr>
        <w:t>3.3 Security, Authorization &amp; Entitlements Engine (FR-SEC)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360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Requirement Description</w:t>
            </w:r>
          </w:p>
        </w:tc>
        <w:tc>
          <w:tcPr>
            <w:tcW w:type="dxa" w:w="1152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168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FR-SEC-01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Matrix Authorization Workflow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6CC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Support multi-level signing matrix based on monetary limits, user roles, accounts, and legal entities.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FR-SEC-02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Hardware &amp; Soft Token MFA Integration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6CC"/>
              </w:rPr>
              <w:t>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Integrate FIDO2, RSA SecurID, and Push Authentication for payment approval authorization.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FR-SEC-03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Role-Based &amp; Attribute-Based Access Control (RBAC/ABAC)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6CC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Define granular permissions per subsidiary, account group, function, and transaction type.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2"/>
        </w:rPr>
        <w:t>4. Non-Functional Requirements (NFRs)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NFR Domain</w:t>
            </w:r>
          </w:p>
        </w:tc>
        <w:tc>
          <w:tcPr>
            <w:tcW w:type="dxa" w:w="3888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Target Specification</w:t>
            </w:r>
          </w:p>
        </w:tc>
        <w:tc>
          <w:tcPr>
            <w:tcW w:type="dxa" w:w="288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Measurement / Verification Method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Performance &amp; Throughput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Capable of processing 5,000 transactions per second (TPS) at peak load with sub-500ms latency.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LoadRunner / JMeter Stress Test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System Availability &amp; DR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99.99% system uptime; Recovery Point Objective (RPO) = 0; Recovery Time Objective (RTO) &lt; 15 mins.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Chaos Engineering &amp; Failover Audits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Data Encryption Standard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AES-256 for data at rest; TLS 1.3 for data in transit; mTLS for external API channels.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Penetration Testing &amp; Security Audit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Scalability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Auto-scaling microservices architecture supporting 3x traffic spikes without degradation.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Kubernetes HPA Load Simulations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Accessibility Compliance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WCAG 2.1 Level AA compliance across Web and Mobile Corporate applications.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Automated Screen Reader Validation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2"/>
        </w:rPr>
        <w:t>5. Architecture &amp; Integration Landscape</w:t>
      </w:r>
    </w:p>
    <w:p>
      <w:pPr>
        <w:keepNext/>
        <w:spacing w:before="280" w:after="80"/>
      </w:pPr>
      <w:r>
        <w:rPr>
          <w:rFonts w:ascii="Arial" w:hAnsi="Arial"/>
          <w:b/>
          <w:color w:val="0066CC"/>
          <w:sz w:val="26"/>
        </w:rPr>
        <w:t>5.1 Integration Architecture Matrix</w:t>
      </w:r>
    </w:p>
    <w:p>
      <w:r>
        <w:t>The digital banking platform will act as an orchestration layer connecting customer front-ends to underlying enterprise infrastructure via a secure Microservices API Gateway.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Target System</w:t>
            </w:r>
          </w:p>
        </w:tc>
        <w:tc>
          <w:tcPr>
            <w:tcW w:type="dxa" w:w="216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Interface Protocol</w:t>
            </w:r>
          </w:p>
        </w:tc>
        <w:tc>
          <w:tcPr>
            <w:tcW w:type="dxa" w:w="216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Data Format</w:t>
            </w:r>
          </w:p>
        </w:tc>
        <w:tc>
          <w:tcPr>
            <w:tcW w:type="dxa" w:w="2448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Frequency / Pattern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Core Banking Engine (Finacle)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gRPC / REST APIs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JSON / Protocol Buffers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Real-time Synchronous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SWIFT Alliance Gateway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ISO 20022 / MQ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XML (pacs, camt, pain)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Asynchronous Event Driven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Enterprise ERP (SAP/Oracle)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REST API / SFTP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ISO 20022 / CSV / JSON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Real-time &amp; Batch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Fraud Engine (Actimize)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REST API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JSON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Real-time (&lt; 150ms)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2"/>
        </w:rPr>
        <w:t>6. Regulatory, Compliance &amp; Governance</w:t>
      </w:r>
    </w:p>
    <w:p>
      <w:r>
        <w:t>The platform must adhere strictly to international regulatory frameworks and banking mandates:</w:t>
      </w:r>
    </w:p>
    <w:p>
      <w:pPr>
        <w:pStyle w:val="ListBullet"/>
      </w:pPr>
      <w:r>
        <w:rPr>
          <w:b/>
        </w:rPr>
        <w:t xml:space="preserve">GDPR &amp; Data Privacy: </w:t>
      </w:r>
      <w:r>
        <w:t>Mandatory data residency compliance, right-to-be-forgotten execution pipelines, and automated customer consent tracking.</w:t>
      </w:r>
    </w:p>
    <w:p>
      <w:pPr>
        <w:pStyle w:val="ListBullet"/>
      </w:pPr>
      <w:r>
        <w:rPr>
          <w:b/>
        </w:rPr>
        <w:t xml:space="preserve">PSD2 / Open Banking Mandates: </w:t>
      </w:r>
      <w:r>
        <w:t>Secure Strong Customer Authentication (SCA) with dynamic linking for payment initialization.</w:t>
      </w:r>
    </w:p>
    <w:p>
      <w:pPr>
        <w:pStyle w:val="ListBullet"/>
      </w:pPr>
      <w:r>
        <w:rPr>
          <w:b/>
        </w:rPr>
        <w:t xml:space="preserve">SOX Compliance &amp; Immutable Audit Trails: </w:t>
      </w:r>
      <w:r>
        <w:t>All corporate actions, authorization changes, and transfer approvals logged to tamper-proof write-once-read-many (WORM) audit storage.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2"/>
        </w:rPr>
        <w:t>7. Stakeholder Sign-Off &amp; Approval Matrix</w:t>
      </w:r>
    </w:p>
    <w:p>
      <w:r>
        <w:t>By signing below, the designated stakeholders agree that this Business Requirement Document accurately captures all functional, operational, architectural, and security requirements for the Enterprise Digital Banking Platform project.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Stakeholder Name</w:t>
            </w:r>
          </w:p>
        </w:tc>
        <w:tc>
          <w:tcPr>
            <w:tcW w:type="dxa" w:w="3168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Role / Designation</w:t>
            </w:r>
          </w:p>
        </w:tc>
        <w:tc>
          <w:tcPr>
            <w:tcW w:type="dxa" w:w="1872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Signature Status</w:t>
            </w:r>
          </w:p>
        </w:tc>
        <w:tc>
          <w:tcPr>
            <w:tcW w:type="dxa" w:w="1728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Mark Redman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Global Head of Corporate Banking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</w:rPr>
              <w:t>Approved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30-Jul-2026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Siddharth Patel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Chief Technology Officer (CTO)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</w:rPr>
              <w:t>Approved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30-Jul-2026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Elena Rostova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Head of Information Security (CISO)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59E0B"/>
              </w:rPr>
              <w:t>Pending Review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---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Vikram Kulkarni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Lead Enterprise Architect (Infosys)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</w:rPr>
              <w:t>Approved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30-Jul-2026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