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b/>
          <w:color w:val="0066CC"/>
          <w:sz w:val="24"/>
        </w:rPr>
        <w:t>ENTERPRISE INFORMATION SECURITY &amp; ZERO-TRUST ARCHITECTURE GUIDELINES</w:t>
      </w:r>
    </w:p>
    <w:p>
      <w:pPr>
        <w:spacing w:after="200"/>
      </w:pPr>
      <w:r>
        <w:rPr>
          <w:b/>
          <w:color w:val="0A2540"/>
          <w:sz w:val="48"/>
        </w:rPr>
        <w:t>Next-Gen Enterprise Digital Banking Platform</w:t>
      </w:r>
    </w:p>
    <w:p>
      <w:pPr>
        <w:spacing w:after="400"/>
      </w:pPr>
      <w:r>
        <w:rPr>
          <w:i/>
          <w:color w:val="64748B"/>
          <w:sz w:val="21"/>
        </w:rPr>
        <w:t>Authentication Protocols, Cryptographic Standards, API Perimeter Hardening, Regulatory Compliance, and Threat Mitigation</w:t>
      </w:r>
    </w:p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Document Control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Document Ref ID: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INF-SEC-FIN-2026-1001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Parent Architecture Ref: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INF-HLD-LLD-FIN-2026-0301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Chief Information Security Officer: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Elena Rostova (Office of the CISO)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Governance Scope: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Zero-Trust Perimeter, Cryptography, OAuth2/mTLS, Compliance &amp; Audit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Document Version: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1.0 (Mandatory Security Baseline)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Effective Date: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August 18, 2026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1. Zero-Trust Security Posture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66CC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066CC"/>
              </w:rPr>
              <w:t xml:space="preserve">CORE SECURITY PRINCIPLE: </w:t>
            </w:r>
            <w:r>
              <w:rPr>
                <w:color w:val="0F172A"/>
              </w:rPr>
              <w:t>The Enterprise Digital Banking Platform operates on a strict Zero-Trust Architecture (ZTA)—'Never Trust, Always Verify'. Every user, API client, internal microservice, and database connection must be cryptographically authenticated, explicitly authorized, and continuously monitored regardless of network location.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2. Authentication &amp; Entitlements Governance</w:t>
      </w:r>
    </w:p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2.1 Perimeter Authentication (mTLS &amp; OAuth 2.0 / OIDC)</w:t>
      </w:r>
    </w:p>
    <w:p>
      <w:r>
        <w:t>• Mutual TLS (mTLS): Mandatory X.509 client certificate validation at the Kong API Gateway for all corporate ERP and external API integrations [cite: 2, 4, 9].</w:t>
      </w:r>
    </w:p>
    <w:p>
      <w:r>
        <w:t>• OAuth 2.0 / OpenID Connect (OIDC): PingFederate-issued short-lived JWT access tokens (15-minute expiration) enforcing strict granular scopes (`corporate:read`, `corporate:write`) [cite: 2, 4].</w:t>
      </w:r>
    </w:p>
    <w:p>
      <w:r>
        <w:t>• Strong Customer Authentication (SCA / PSD2): Hardware token (RSA SecurID / FIDO2) or biometric mobile push confirmation required for payment releases [cite: 1, 2].</w:t>
      </w:r>
    </w:p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2.2 Matrix Entitlements Engine (ABAC / RBAC)</w:t>
      </w:r>
    </w:p>
    <w:p>
      <w:r>
        <w:t>• Attribute-Based &amp; Role-Based Access Control: Granular evaluation of corporate user roles, account boundaries, subsidiary permissions, and monetary limits [cite: 1, 2, 9].</w:t>
      </w:r>
    </w:p>
    <w:p>
      <w:r>
        <w:t>• Dual-Custody &amp; Matrix Signatures: High-value wire transfers above threshold limits require multi-user approval signatures before execution [cite: 1, 2, 3].</w:t>
      </w:r>
    </w:p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3. Cryptographic Standards &amp; Key Governance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Data State / Layer</w:t>
            </w:r>
          </w:p>
        </w:tc>
        <w:tc>
          <w:tcPr>
            <w:tcW w:type="dxa" w:w="3888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Mandated Standard / Algorithm</w:t>
            </w:r>
          </w:p>
        </w:tc>
        <w:tc>
          <w:tcPr>
            <w:tcW w:type="dxa" w:w="2880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Key Management Mechanism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Data in Transit</w:t>
            </w:r>
          </w:p>
        </w:tc>
        <w:tc>
          <w:tcPr>
            <w:tcW w:type="dxa" w:w="388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TLS 1.3 with Perfect Forward Secrecy (PFS); mTLS for inter-service gRPC [cite: 1, 2, 8, 9].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Automated Cert-Manager X.509 rotation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Data at Rest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AES-256 GCM encryption across PostgreSQL, Redis, and Kafka storage volumes [cite: 1, 2, 9].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AWS KMS / HashiCorp Vault HSM-backed keys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Secret Management</w:t>
            </w:r>
          </w:p>
        </w:tc>
        <w:tc>
          <w:tcPr>
            <w:tcW w:type="dxa" w:w="388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Zero hardcoded keys/passwords in application code or Docker containers [cite: 2, 7].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HashiCorp Vault dynamic secret injection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File Transfer Encryption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PGP / GPG encryption for host-to-host SFTP bulk payment file drops [cite: 2].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Hardware Security Module (HSM) signing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4. Perimeter Protection &amp; Vulnerability Governance</w:t>
      </w:r>
    </w:p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4.1 API Gateway Hardening &amp; OWASP Top 10 Mitigations</w:t>
      </w:r>
    </w:p>
    <w:p>
      <w:r>
        <w:t>• Web Application Firewall (WAF): AWS WAF / Kong Security plugins inspecting traffic for SQLi, XSS, and command injection attacks [cite: 7].</w:t>
      </w:r>
    </w:p>
    <w:p>
      <w:r>
        <w:t>• Distributed Rate Limiting: Token-bucket rate limiting per corporate client IP/API token to prevent Denial of Service (DoS) [cite: 2, 3].</w:t>
      </w:r>
    </w:p>
    <w:p>
      <w:r>
        <w:t>• Idempotency Guarantee: `X-Idempotency-Key` enforced on all POST payment endpoints to prevent replay attacks and double debiting [cite: 2, 3, 4].</w:t>
      </w:r>
    </w:p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4.2 Audit Trails &amp; Regulatory Compliance</w:t>
      </w:r>
    </w:p>
    <w:p>
      <w:r>
        <w:t>• SOX &amp; GDPR Immutable Audit Logging: All corporate actions, transfers, and administrative overrides logged to WORM (Write Once Read Many) storage [cite: 1, 2, 9].</w:t>
      </w:r>
    </w:p>
    <w:p>
      <w:r>
        <w:t>• Real-Time Sanctions Screening: Sub-200ms pre-flight validation against OFAC, UN, and EU sanction lists [cite: 1, 2].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