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</w:pPr>
      <w:r>
        <w:rPr>
          <w:b/>
          <w:color w:val="0066CC"/>
          <w:sz w:val="24"/>
        </w:rPr>
        <w:t>MASTER TEST PLAN &amp; QUALITY ASSURANCE STRATEGY</w:t>
      </w:r>
    </w:p>
    <w:p>
      <w:pPr>
        <w:spacing w:after="200"/>
      </w:pPr>
      <w:r>
        <w:rPr>
          <w:b/>
          <w:color w:val="0A2540"/>
          <w:sz w:val="48"/>
        </w:rPr>
        <w:t>Next-Gen Enterprise Digital Banking Platform</w:t>
      </w:r>
    </w:p>
    <w:p>
      <w:pPr>
        <w:spacing w:after="400"/>
      </w:pPr>
      <w:r>
        <w:rPr>
          <w:i/>
          <w:color w:val="64748B"/>
          <w:sz w:val="21"/>
        </w:rPr>
        <w:t>Comprehensive Quality Assurance Strategy, Test Phases, Environment Setup, Automation Framework, and Defect Governance</w:t>
      </w:r>
    </w:p>
    <w:p>
      <w:pPr>
        <w:keepNext/>
        <w:spacing w:before="240" w:after="80"/>
      </w:pPr>
      <w:r>
        <w:rPr>
          <w:rFonts w:ascii="Arial" w:hAnsi="Arial"/>
          <w:b/>
          <w:color w:val="0066CC"/>
          <w:sz w:val="24"/>
        </w:rPr>
        <w:t>Document Control Information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Document Ref ID: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INF-STP-FIN-2026-0501</w:t>
            </w:r>
          </w:p>
        </w:tc>
      </w:tr>
      <w:tr>
        <w:tc>
          <w:tcPr>
            <w:tcW w:type="dxa" w:w="316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Parent SRS Ref: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INF-SRS-FIN-2026-0188</w:t>
            </w:r>
          </w:p>
        </w:tc>
      </w:tr>
      <w:tr>
        <w:tc>
          <w:tcPr>
            <w:tcW w:type="dxa" w:w="316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QA Lead / Author: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Suresh Menon (Infosys Quality Engineering Practice)</w:t>
            </w:r>
          </w:p>
        </w:tc>
      </w:tr>
      <w:tr>
        <w:tc>
          <w:tcPr>
            <w:tcW w:type="dxa" w:w="316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Test Automation Stack: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Playwright, REST Assured, JMeter, Chaos Mesh, SonarQube</w:t>
            </w:r>
          </w:p>
        </w:tc>
      </w:tr>
      <w:tr>
        <w:tc>
          <w:tcPr>
            <w:tcW w:type="dxa" w:w="316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Document Version: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1.0 (Sign-Off Ready)</w:t>
            </w:r>
          </w:p>
        </w:tc>
      </w:tr>
      <w:tr>
        <w:tc>
          <w:tcPr>
            <w:tcW w:type="dxa" w:w="316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Effective Date: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August 10, 2026</w:t>
            </w:r>
          </w:p>
        </w:tc>
      </w:tr>
    </w:tbl>
    <w:p>
      <w:r>
        <w:br w:type="page"/>
      </w:r>
    </w:p>
    <w:p>
      <w:pPr>
        <w:keepNext/>
        <w:spacing w:before="360" w:after="120"/>
      </w:pPr>
      <w:r>
        <w:rPr>
          <w:rFonts w:ascii="Arial" w:hAnsi="Arial"/>
          <w:b/>
          <w:color w:val="0A2540"/>
          <w:sz w:val="30"/>
        </w:rPr>
        <w:t>1. Executive Test Strategy &amp; Scope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0066CC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0066CC"/>
              </w:rPr>
              <w:t xml:space="preserve">QA STRATEGY OBJECTIVE: </w:t>
            </w:r>
            <w:r>
              <w:rPr>
                <w:color w:val="0F172A"/>
              </w:rPr>
              <w:t>This Master Test Plan governs the end-to-end Quality Assurance lifecycle for the Enterprise Digital Banking Platform. It defines the validation methodology across functional microservices, security compliance, high-load performance (5,000 TPS), failover resilience, and User Acceptance Testing (UAT).</w:t>
            </w:r>
          </w:p>
        </w:tc>
      </w:tr>
    </w:tbl>
    <w:p>
      <w:pPr>
        <w:keepNext/>
        <w:spacing w:before="240" w:after="80"/>
      </w:pPr>
      <w:r>
        <w:rPr>
          <w:rFonts w:ascii="Arial" w:hAnsi="Arial"/>
          <w:b/>
          <w:color w:val="0066CC"/>
          <w:sz w:val="24"/>
        </w:rPr>
        <w:t>1.1 In-Scope Testing Types</w:t>
      </w:r>
    </w:p>
    <w:p>
      <w:pPr>
        <w:pStyle w:val="ListBullet"/>
      </w:pPr>
      <w:r>
        <w:rPr>
          <w:b/>
          <w:color w:val="0066CC"/>
        </w:rPr>
        <w:t xml:space="preserve">Unit &amp; Component Testing: </w:t>
      </w:r>
      <w:r>
        <w:t>Automated execution via JUnit 5, Mockito, and Go Test within CI/CD pipelines.</w:t>
      </w:r>
    </w:p>
    <w:p>
      <w:pPr>
        <w:pStyle w:val="ListBullet"/>
      </w:pPr>
      <w:r>
        <w:rPr>
          <w:b/>
          <w:color w:val="0066CC"/>
        </w:rPr>
        <w:t xml:space="preserve">Integration &amp; API Testing: </w:t>
      </w:r>
      <w:r>
        <w:t>Automated REST / gRPC contract testing using REST Assured and Postman/Newman suites.</w:t>
      </w:r>
    </w:p>
    <w:p>
      <w:pPr>
        <w:pStyle w:val="ListBullet"/>
      </w:pPr>
      <w:r>
        <w:rPr>
          <w:b/>
          <w:color w:val="0066CC"/>
        </w:rPr>
        <w:t xml:space="preserve">System &amp; Functional Testing: </w:t>
      </w:r>
      <w:r>
        <w:t>End-to-end validation of bulk ISO 20022 payments, account liquidity, and virtual accounts.</w:t>
      </w:r>
    </w:p>
    <w:p>
      <w:pPr>
        <w:pStyle w:val="ListBullet"/>
      </w:pPr>
      <w:r>
        <w:rPr>
          <w:b/>
          <w:color w:val="0066CC"/>
        </w:rPr>
        <w:t xml:space="preserve">Security &amp; Penetration Testing: </w:t>
      </w:r>
      <w:r>
        <w:t>SAST/DAST scanning, OWASP Top 10, mTLS certificate validation, and OAuth2 token abuse tests.</w:t>
      </w:r>
    </w:p>
    <w:p>
      <w:pPr>
        <w:pStyle w:val="ListBullet"/>
      </w:pPr>
      <w:r>
        <w:rPr>
          <w:b/>
          <w:color w:val="0066CC"/>
        </w:rPr>
        <w:t xml:space="preserve">Performance &amp; Load Testing: </w:t>
      </w:r>
      <w:r>
        <w:t>Benchmarking peak 5,000 TPS capacity, p99 &lt; 450ms latency, and soak/stress stability.</w:t>
      </w:r>
    </w:p>
    <w:p>
      <w:pPr>
        <w:pStyle w:val="ListBullet"/>
      </w:pPr>
      <w:r>
        <w:rPr>
          <w:b/>
          <w:color w:val="0066CC"/>
        </w:rPr>
        <w:t xml:space="preserve">User Acceptance Testing (UAT): </w:t>
      </w:r>
      <w:r>
        <w:t>Validation of complex authorization matrices, mobile biometric approvals, and corporate treasury workflows.</w:t>
      </w:r>
    </w:p>
    <w:p>
      <w:pPr>
        <w:keepNext/>
        <w:spacing w:before="360" w:after="120"/>
      </w:pPr>
      <w:r>
        <w:rPr>
          <w:rFonts w:ascii="Arial" w:hAnsi="Arial"/>
          <w:b/>
          <w:color w:val="0A2540"/>
          <w:sz w:val="30"/>
        </w:rPr>
        <w:t>2. High-Level Test Matrix &amp; Sample Test Cases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584"/>
            <w:shd w:fill="0A25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Test Suite ID</w:t>
            </w:r>
          </w:p>
        </w:tc>
        <w:tc>
          <w:tcPr>
            <w:tcW w:type="dxa" w:w="1872"/>
            <w:shd w:fill="0A25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Target Domain</w:t>
            </w:r>
          </w:p>
        </w:tc>
        <w:tc>
          <w:tcPr>
            <w:tcW w:type="dxa" w:w="3024"/>
            <w:shd w:fill="0A25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Test Scenario Description</w:t>
            </w:r>
          </w:p>
        </w:tc>
        <w:tc>
          <w:tcPr>
            <w:tcW w:type="dxa" w:w="1440"/>
            <w:shd w:fill="0A25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Execution Mode</w:t>
            </w:r>
          </w:p>
        </w:tc>
        <w:tc>
          <w:tcPr>
            <w:tcW w:type="dxa" w:w="1440"/>
            <w:shd w:fill="0A25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Pass / Fail Criteria</w:t>
            </w:r>
          </w:p>
        </w:tc>
      </w:tr>
      <w:tr>
        <w:tc>
          <w:tcPr>
            <w:tcW w:type="dxa" w:w="158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TC-ACC-001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Account Liquidity</w:t>
            </w:r>
          </w:p>
        </w:tc>
        <w:tc>
          <w:tcPr>
            <w:tcW w:type="dxa" w:w="302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Verify real-time balance aggregation across 50 sub-accounts in &lt; 500ms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Automated (REST)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HTTP 200, valid JSON payload</w:t>
            </w:r>
          </w:p>
        </w:tc>
      </w:tr>
      <w:tr>
        <w:tc>
          <w:tcPr>
            <w:tcW w:type="dxa" w:w="15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TC-PAY-010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Bulk Payments</w:t>
            </w:r>
          </w:p>
        </w:tc>
        <w:tc>
          <w:tcPr>
            <w:tcW w:type="dxa" w:w="302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Upload 100,000 record ISO 20022 pain.001 XML file and verify Kafka processing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Automated (JMeter)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All records processed, no loss</w:t>
            </w:r>
          </w:p>
        </w:tc>
      </w:tr>
      <w:tr>
        <w:tc>
          <w:tcPr>
            <w:tcW w:type="dxa" w:w="158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TC-PAY-031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Sanctions Screening</w:t>
            </w:r>
          </w:p>
        </w:tc>
        <w:tc>
          <w:tcPr>
            <w:tcW w:type="dxa" w:w="302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Submit transaction with sanctioned BIC and verify real-time rejection (&lt; 200ms)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Automated (API)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HTTP 403, Risk score &gt; 85</w:t>
            </w:r>
          </w:p>
        </w:tc>
      </w:tr>
      <w:tr>
        <w:tc>
          <w:tcPr>
            <w:tcW w:type="dxa" w:w="15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TC-SEC-005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Entitlements Engine</w:t>
            </w:r>
          </w:p>
        </w:tc>
        <w:tc>
          <w:tcPr>
            <w:tcW w:type="dxa" w:w="302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Verify 3-tier matrix approval requirement for payments exceeding $1,000,000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Automated (Playwright)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Status = PENDING_APPROVAL</w:t>
            </w:r>
          </w:p>
        </w:tc>
      </w:tr>
      <w:tr>
        <w:tc>
          <w:tcPr>
            <w:tcW w:type="dxa" w:w="158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TC-PERF-001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Load Testing</w:t>
            </w:r>
          </w:p>
        </w:tc>
        <w:tc>
          <w:tcPr>
            <w:tcW w:type="dxa" w:w="302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Simulate 5,000 concurrent TPS for 2 hours and monitor CPU/Memory auto-scaling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Automated (JMeter)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0% error rate, p99 &lt; 450ms</w:t>
            </w:r>
          </w:p>
        </w:tc>
      </w:tr>
    </w:tbl>
    <w:p>
      <w:pPr>
        <w:keepNext/>
        <w:spacing w:before="360" w:after="120"/>
      </w:pPr>
      <w:r>
        <w:rPr>
          <w:rFonts w:ascii="Arial" w:hAnsi="Arial"/>
          <w:b/>
          <w:color w:val="0A2540"/>
          <w:sz w:val="30"/>
        </w:rPr>
        <w:t>3. Entry, Exit &amp; Suspension Criteria</w:t>
      </w:r>
    </w:p>
    <w:p>
      <w:pPr>
        <w:keepNext/>
        <w:spacing w:before="240" w:after="80"/>
      </w:pPr>
      <w:r>
        <w:rPr>
          <w:rFonts w:ascii="Arial" w:hAnsi="Arial"/>
          <w:b/>
          <w:color w:val="0066CC"/>
          <w:sz w:val="24"/>
        </w:rPr>
        <w:t>3.1 Test Phase Entry Criteria</w:t>
      </w:r>
    </w:p>
    <w:p>
      <w:r>
        <w:t>• Code freeze completed and build deployed to Staging Kubernetes Cluster.</w:t>
      </w:r>
    </w:p>
    <w:p>
      <w:r>
        <w:t>• Unit test code coverage &gt;= 85% with zero critical static analysis findings.</w:t>
      </w:r>
    </w:p>
    <w:p>
      <w:r>
        <w:t>• Test data provisioned (synthetic corporate accounts, matrix roles, and mock SWIFT gateways).</w:t>
      </w:r>
    </w:p>
    <w:p>
      <w:pPr>
        <w:keepNext/>
        <w:spacing w:before="240" w:after="80"/>
      </w:pPr>
      <w:r>
        <w:rPr>
          <w:rFonts w:ascii="Arial" w:hAnsi="Arial"/>
          <w:b/>
          <w:color w:val="0066CC"/>
          <w:sz w:val="24"/>
        </w:rPr>
        <w:t>3.2 Test Phase Exit / Sign-Off Criteria</w:t>
      </w:r>
    </w:p>
    <w:p>
      <w:r>
        <w:t>• 100% execution of all planned P1 and P2 test cases.</w:t>
      </w:r>
    </w:p>
    <w:p>
      <w:r>
        <w:t>• Zero Severity-1 (Blocker) or Severity-2 (Critical) open defects.</w:t>
      </w:r>
    </w:p>
    <w:p>
      <w:r>
        <w:t>• Performance throughput benchmark of 5,000 TPS verified under load.</w:t>
      </w:r>
    </w:p>
    <w:p>
      <w:pPr>
        <w:keepNext/>
        <w:spacing w:before="360" w:after="120"/>
      </w:pPr>
      <w:r>
        <w:rPr>
          <w:rFonts w:ascii="Arial" w:hAnsi="Arial"/>
          <w:b/>
          <w:color w:val="0A2540"/>
          <w:sz w:val="30"/>
        </w:rPr>
        <w:t>4. Defect Governance &amp; Severity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0A25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Defect Severity</w:t>
            </w:r>
          </w:p>
        </w:tc>
        <w:tc>
          <w:tcPr>
            <w:tcW w:type="dxa" w:w="5040"/>
            <w:shd w:fill="0A25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Description / Definition</w:t>
            </w:r>
          </w:p>
        </w:tc>
        <w:tc>
          <w:tcPr>
            <w:tcW w:type="dxa" w:w="2160"/>
            <w:shd w:fill="0A25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Resolution SLA</w:t>
            </w:r>
          </w:p>
        </w:tc>
      </w:tr>
      <w:tr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Sev-1 (Blocker)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System crash, data corruption, security breach, or payment execution pipeline down.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&lt; 4 Hours</w:t>
            </w:r>
          </w:p>
        </w:tc>
      </w:tr>
      <w:tr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Sev-2 (Critical)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Core functionality broken (e.g., matrix approval failure) with no workaround.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&lt; 12 Hours</w:t>
            </w:r>
          </w:p>
        </w:tc>
      </w:tr>
      <w:tr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Sev-3 (Major)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Non-critical feature failure or performance degradation under non-peak load.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&lt; 48 Hours</w:t>
            </w:r>
          </w:p>
        </w:tc>
      </w:tr>
      <w:tr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Sev-4 (Minor)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Cosmetic UI issues, minor alignment bugs, or typo in error message.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Next Sprint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F17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