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0066CC"/>
          <w:sz w:val="24"/>
        </w:rPr>
        <w:t>ARCHITECTURE DECISION RECORDS (ADRs)</w:t>
      </w:r>
    </w:p>
    <w:p>
      <w:pPr>
        <w:spacing w:after="200"/>
      </w:pPr>
      <w:r>
        <w:rPr>
          <w:b/>
          <w:color w:val="0A2540"/>
          <w:sz w:val="48"/>
        </w:rPr>
        <w:t>Next-Gen Enterprise Digital Banking Platform</w:t>
      </w:r>
    </w:p>
    <w:p>
      <w:pPr>
        <w:spacing w:after="400"/>
      </w:pPr>
      <w:r>
        <w:rPr>
          <w:i/>
          <w:color w:val="64748B"/>
          <w:sz w:val="21"/>
        </w:rPr>
        <w:t>Key Architectural Decisions, Technical Context, Evaluation Trade-Offs, and System Consequences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Document Control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Ref ID: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INF-ADR-FIN-2026-0801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Parent Architecture Ref: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INF-HLD-LLD-FIN-2026-0301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Chief Architect: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Vikram Kulkarni (Infosys Architecture Practice)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Decision Scope: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Microservices Topology, Messaging, Protocols, Databases &amp; Security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Version: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1.0 (Immutable Architectural Register)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Effective Date: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August 15,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1. Architecture Decision Register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66CC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66CC"/>
              </w:rPr>
              <w:t xml:space="preserve">ADR GOVERNANCE PRINCIPLE: </w:t>
            </w:r>
            <w:r>
              <w:rPr>
                <w:color w:val="0F172A"/>
              </w:rPr>
              <w:t>Architecture Decision Records (ADRs) capture significant architectural choices, providing context, trade-offs, and consequences. Once accepted, ADRs are treated as immutable records; changes to architectural direction require proposing a new ADR that supersedes the prior record.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ADR ID</w:t>
            </w:r>
          </w:p>
        </w:tc>
        <w:tc>
          <w:tcPr>
            <w:tcW w:type="dxa" w:w="3312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Title / Decision Topic</w:t>
            </w:r>
          </w:p>
        </w:tc>
        <w:tc>
          <w:tcPr>
            <w:tcW w:type="dxa" w:w="1584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584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44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Primary Impact Domain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ADR-001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Event-Driven Microservices vs Monolith Architecture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</w:rPr>
              <w:t>ACCEPTED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15-Aug-2026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System Topology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ADR-002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Apache Kafka for ISO 20022 Async Payment Pipelines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</w:rPr>
              <w:t>ACCEPTED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15-Aug-2026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Event Streaming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ADR-003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gRPC over HTTP/2 for Core Inter-Service Calls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</w:rPr>
              <w:t>ACCEPTED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15-Aug-2026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RPC Protocol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ADR-004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PostgreSQL &amp; Redis Dual-Tier Persistence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</w:rPr>
              <w:t>ACCEPTED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15-Aug-2026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Database Layer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ADR-005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OAuth 2.0 / OIDC + mTLS Zero-Trust Gateway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</w:rPr>
              <w:t>ACCEPTED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15-Aug-2026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Security &amp; Auth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2. Detailed Architecture Decision Records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ADR-001: Event-Driven Microservices Architecture over Monolith</w:t>
      </w:r>
    </w:p>
    <w:p>
      <w:r>
        <w:t>Status: ACCEPTED | Date: August 15, 2026 | Author: Vikram Kulkarni</w:t>
      </w:r>
    </w:p>
    <w:p>
      <w:r>
        <w:t>• Context &amp; Problem: The bank's incumbent corporate portal was built as a monolithic Java EE application. Scaling independent domains (such as high-frequency payment processing during payroll cutoff vs low-frequency trade finance queries) required scaling the entire monolith, leading to resource contention and long release cycles.</w:t>
        <w:br/>
        <w:t>• Decision: Adopt a Domain-Driven Microservices Architecture deployed on Kubernetes (EKS/AKS), breaking capabilities into autonomous services (Account Liquidity, Batch Payments, Entitlements Engine, VAM).</w:t>
        <w:br/>
        <w:t>• Consequences (Positive): Independent deployability, auto-scaling of high-demand payment services, fault isolation, and faster release velocity.</w:t>
        <w:br/>
        <w:t>• Consequences (Negative): Increased operational complexity in distributed tracing, cross-service transaction consistency (Saga Pattern required).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ADR-002: Apache Kafka for Asynchronous Payment Pipelines</w:t>
      </w:r>
    </w:p>
    <w:p>
      <w:r>
        <w:t>Status: ACCEPTED | Date: August 15, 2026 | Author: Enterprise Architecture Board</w:t>
      </w:r>
    </w:p>
    <w:p>
      <w:r>
        <w:t>• Context &amp; Problem: Bulk payment files containing up to 100,000 ISO 20022 XML payment instructions caused HTTP gateway timeouts when processed synchronously.</w:t>
        <w:br/>
        <w:t>• Decision: Utilize Apache Kafka as the enterprise event bus for asynchronous batch payment chunking, sanctions screening, and audit event publishing.</w:t>
        <w:br/>
        <w:t>• Alternatives Considered: RabbitMQ (Lacks long-term event log replayability), ActiveMQ (Insufficient throughput for 5,000 TPS target).</w:t>
        <w:br/>
        <w:t>• Consequences (Positive): Guaranteed at-least-once message delivery, event replayability for audit compliance, sub-millisecond event streaming ingestion.</w:t>
        <w:br/>
        <w:t>• Consequences (Negative): Requires strict partition key design to maintain payment execution ordering per corporate account.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ADR-003: gRPC over HTTP/2 for High-Throughput Inter-Service Communication</w:t>
      </w:r>
    </w:p>
    <w:p>
      <w:r>
        <w:t>Status: ACCEPTED | Date: August 15, 2026 | Author: Lead Systems Architect</w:t>
      </w:r>
    </w:p>
    <w:p>
      <w:r>
        <w:t>• Context &amp; Problem: REST/JSON serialization overhead for internal microservice-to-microservice and Core Banking Engine calls consumed excessive CPU and introduced 80ms+ latency per hop.</w:t>
        <w:br/>
        <w:t>• Decision: Standardize internal synchronous microservice communications on gRPC with Protocol Buffers (Proto3) over HTTP/2 with mTLS.</w:t>
        <w:br/>
        <w:t>• Consequences (Positive): 7x reduction in payload size, binary serialization, multiplexed connections, sub-10ms network transport latency.</w:t>
        <w:br/>
        <w:t>• Consequences (Negative): Requires Protobuf code generation in CI/CD pipelines and custom gRPC web proxies for browser clients.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ADR-004: PostgreSQL &amp; Redis Dual-Tier Persistence</w:t>
      </w:r>
    </w:p>
    <w:p>
      <w:r>
        <w:t>Status: ACCEPTED | Date: August 15, 2026 | Author: Data Architecture Team</w:t>
      </w:r>
    </w:p>
    <w:p>
      <w:r>
        <w:t>• Context &amp; Problem: Real-time balance queries across millions of corporate sub-accounts saturated database read replicas, risking transaction locks.</w:t>
        <w:br/>
        <w:t>• Decision: Implement PostgreSQL for ACID-compliant transactional persistence alongside a distributed Redis Cluster for write-through balance caching.</w:t>
        <w:br/>
        <w:t>• Consequences (Positive): Read latency reduced to &lt; 5ms for balance dashboards; guarantees strict relational integrity for financial ledger records.</w:t>
        <w:br/>
        <w:t>• Consequences (Negative): Cache invalidation logic required during rapid multi-currency sweeping and pooling transactions.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ADR-005: OAuth 2.0 / OIDC + mTLS Zero-Trust Security Gateway</w:t>
      </w:r>
    </w:p>
    <w:p>
      <w:r>
        <w:t>Status: ACCEPTED | Date: August 15, 2026 | Author: CISO Office &amp; Lead Security Architect</w:t>
      </w:r>
    </w:p>
    <w:p>
      <w:r>
        <w:t>• Context &amp; Problem: Corporate banking APIs require bulletproof defense against credential theft, man-in-the-middle attacks, and unauthorized subsidiary access.</w:t>
        <w:br/>
        <w:t>• Decision: Enforce dual-layer authentication at Kong API Gateway: Mutual TLS (mTLS) for client certificate verification paired with OAuth 2.0 / OIDC JWT tokens.</w:t>
        <w:br/>
        <w:t>• Consequences (Positive): Zero-trust perimeter security, cryptographic client identity proofing, granular RBAC/ABAC scope enforcement.</w:t>
        <w:br/>
        <w:t>• Consequences (Negative): Increased client onboarding friction requiring X.509 certificate exchange and management.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