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PROJECT VISION &amp; STRATEGIC CHARTER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Executive Summary, Problem Context, Stakeholder Profiles, Strategic Goals &amp; High-Level Feature Roadmap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INF-VIS-FIN-2026-0010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Sponsor: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Global Head of Corporate &amp; Commercial Banking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Consulting Partner: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Financial Services Practice (FS-CoE)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(Executive Final)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May 1,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Executive Vision &amp; Strategic Purpose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CORE STRATEGIC VISION: </w:t>
            </w:r>
            <w:r>
              <w:rPr>
                <w:color w:val="0F172A"/>
              </w:rPr>
              <w:t>To establish a single, unified, cloud-native digital banking platform that empowers corporate treasurers with real-time liquidity visibility, instant multi-rail global payments, intelligent virtual account management, and open-banking ERP integration—delivering friction-free commercial banking experiences across all global business entities.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Business Opportunity &amp; Problem Statement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2.1 The Challenge</w:t>
      </w:r>
    </w:p>
    <w:p>
      <w:r>
        <w:t>Modern global enterprises operate across fragmented subsidiary structures, demanding real-time cash visibility and rapid settlement. However, legacy channel platforms force corporate treasurers to log into disparate systems for cash management, FX, trade finance, and payments [cite: 1]. This fragmentation results in onboarding delays, poor straight-through-processing (STP) rates, and high operational overhead [cite: 1].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2.2 The Opportunity</w:t>
      </w:r>
    </w:p>
    <w:p>
      <w:r>
        <w:t>By engineering a microservices-driven digital platform, the bank will consolidate corporate channel banking into a unified digital portal [cite: 1], retaining market leadership, capturing higher deposit volumes, expanding open banking ERP integrations [cite: 1], and lowering cost-to-serve.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Stakeholder Profiles &amp; Key User Persona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User Persona / Role</w:t>
            </w:r>
          </w:p>
        </w:tc>
        <w:tc>
          <w:tcPr>
            <w:tcW w:type="dxa" w:w="316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Primary Responsibilities</w:t>
            </w:r>
          </w:p>
        </w:tc>
        <w:tc>
          <w:tcPr>
            <w:tcW w:type="dxa" w:w="360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Core Pain Points Addressed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Corporate Treasurer / CFO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Global cash management, liquidity pooling, capital allocation, and foreign exchange hedging [cite: 1].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Lack of real-time multi-bank balance visibility and delayed SWIFT GPI status updates [cite: 1].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Finance Manager / Operator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Batch payroll submission, supplier bill payments, and daily ERP reconciliation [cite: 1, 3].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Manual CSV file uploads, batch file drop failures, and cumbersome multi-portal access [cite: 1].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Corporate Authorizer / Signatory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Reviewing high-value wire transfers and approving multi-tier transaction matrices [cite: 1, 3].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Lack of mobile biometric authorization and dynamic matrix signing rules [cite: 1, 3].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IT &amp; Integration Engineer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Connecting corporate ERP (SAP/Oracle) to bank channels via APIs / H2H channels [cite: 1, 2].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Legacy SFTP batch transfers without real-time webhook or REST API support [cite: 1, 2].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4. Product Feature Horizons &amp; Strategic Roadmap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4.1 Phase 1 (MVP Foundation - Months 1-6)</w:t>
      </w:r>
    </w:p>
    <w:p>
      <w:r>
        <w:t>• Core Account &amp; Liquidity Dashboard with real-time balance queries [cite: 1, 2].</w:t>
      </w:r>
    </w:p>
    <w:p>
      <w:r>
        <w:t>• Domestic and Cross-Border Wires (ISO 20022 XML formats) [cite: 1, 2].</w:t>
      </w:r>
    </w:p>
    <w:p>
      <w:r>
        <w:t>• Multi-level Matrix Entitlements Engine &amp; Mobile Push Approvals [cite: 1, 2].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4.2 Phase 2 (Advanced Cash &amp; Treasury - Months 7-12)</w:t>
      </w:r>
    </w:p>
    <w:p>
      <w:r>
        <w:t>• Virtual Account Management (VAM) and automated sub-ledger reconciliation [cite: 1, 3].</w:t>
      </w:r>
    </w:p>
    <w:p>
      <w:r>
        <w:t>• Physical &amp; Notional Sweeping/Pooling Liquidity Rules Engine [cite: 1].</w:t>
      </w:r>
    </w:p>
    <w:p>
      <w:r>
        <w:t>• Pre-packaged ERP connectors for SAP S/4HANA &amp; Oracle Cloud [cite: 1, 2].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4.3 Phase 3 (Ecosystem &amp; Embedded Finance - Months 13-18)</w:t>
      </w:r>
    </w:p>
    <w:p>
      <w:r>
        <w:t>• Digital Trade Finance (Letters of Credit &amp; Bank Guarantees) [cite: 1].</w:t>
      </w:r>
    </w:p>
    <w:p>
      <w:r>
        <w:t>• AI-driven Cash Flow Forecasting &amp; FX Auto-Hedging Engine [cite: 1].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5. Key Performance Indicators (KPIs)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Strategic KPI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Horizon</w:t>
            </w:r>
          </w:p>
        </w:tc>
        <w:tc>
          <w:tcPr>
            <w:tcW w:type="dxa" w:w="432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Business Impact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Onboarding Time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&lt; 48 Hours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Reduces corporate client time-to-first-transaction by 85% [cite: 1].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Straight-Through Processing (STP)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&gt; 95% Automated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Eliminates manual payment operations intervention [cite: 1].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System Availability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99.99% Uptime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Guarantees zero-downtime round-the-clock liquidity management [cite: 1, 2].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API Response Latency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&lt; 300 ms (p99)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Enables real-time embedded finance and ERP integration [cite: 1, 2].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