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6553B" w14:textId="77777777" w:rsidR="00CF7E59"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 xml:space="preserve">Aga Khan Foundation </w:t>
      </w:r>
    </w:p>
    <w:p w14:paraId="521384C8" w14:textId="72BBB6F2"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Aga Khan Foundation International Scholarship Programme</w:t>
      </w:r>
    </w:p>
    <w:p w14:paraId="6AF0CAED" w14:textId="1C5C64F4" w:rsidR="006E791B" w:rsidRPr="000A1260" w:rsidRDefault="006E791B" w:rsidP="00A0692A">
      <w:pPr>
        <w:rPr>
          <w:rFonts w:ascii="Times New Roman" w:hAnsi="Times New Roman"/>
          <w:bCs/>
          <w:color w:val="000000" w:themeColor="text1"/>
          <w:sz w:val="24"/>
          <w:u w:val="single"/>
        </w:rPr>
      </w:pPr>
      <w:r w:rsidRPr="000A1260">
        <w:rPr>
          <w:rFonts w:ascii="Times New Roman" w:hAnsi="Times New Roman"/>
          <w:bCs/>
          <w:color w:val="000000" w:themeColor="text1"/>
          <w:sz w:val="24"/>
          <w:u w:val="single"/>
        </w:rPr>
        <w:t>https://the.akdn/en/what-we-do/developing-human-capacity/education/international-scholarships</w:t>
      </w:r>
    </w:p>
    <w:p w14:paraId="2DFC4124"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About</w:t>
      </w:r>
    </w:p>
    <w:p w14:paraId="7B5000B4" w14:textId="4A82B63D"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The Aga Khan Foundation’s International Scholarship Programme (ISP) Was Established by His Highness the Aga Khan. The ISP Aims to Support Gifted, Outstanding Students from Developing Countries, Who Have No Other Means of Financing Their Studies, to Pursue Full-time Postgraduate Studies at Reputable Higher Education Institutions of Their Choice.</w:t>
      </w:r>
    </w:p>
    <w:p w14:paraId="473800B6"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Overview</w:t>
      </w:r>
    </w:p>
    <w:p w14:paraId="4A8021C1"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Scholarship Type:</w:t>
      </w:r>
      <w:r w:rsidRPr="000A1260">
        <w:rPr>
          <w:rFonts w:ascii="Times New Roman" w:hAnsi="Times New Roman"/>
          <w:bCs/>
          <w:color w:val="000000" w:themeColor="text1"/>
          <w:sz w:val="24"/>
        </w:rPr>
        <w:t xml:space="preserve"> Merit Based</w:t>
      </w:r>
    </w:p>
    <w:p w14:paraId="309BC893"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Number of Scholarships to Award:</w:t>
      </w:r>
      <w:r w:rsidRPr="000A1260">
        <w:rPr>
          <w:rFonts w:ascii="Times New Roman" w:hAnsi="Times New Roman"/>
          <w:bCs/>
          <w:color w:val="000000" w:themeColor="text1"/>
          <w:sz w:val="24"/>
        </w:rPr>
        <w:t xml:space="preserve"> One</w:t>
      </w:r>
    </w:p>
    <w:p w14:paraId="05BBC841" w14:textId="224B10FD"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 xml:space="preserve">Grant: </w:t>
      </w:r>
      <w:r w:rsidRPr="000A1260">
        <w:rPr>
          <w:rFonts w:ascii="Times New Roman" w:hAnsi="Times New Roman"/>
          <w:bCs/>
          <w:color w:val="000000" w:themeColor="text1"/>
          <w:sz w:val="24"/>
        </w:rPr>
        <w:t>50% Tuition Fee Waiver</w:t>
      </w:r>
    </w:p>
    <w:p w14:paraId="248DBC94" w14:textId="32118A6C"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Scholarship Coverage</w:t>
      </w:r>
    </w:p>
    <w:p w14:paraId="6C883AE0" w14:textId="77777777" w:rsidR="00A0692A" w:rsidRPr="000A1260" w:rsidRDefault="00A0692A" w:rsidP="00CF7E59">
      <w:pPr>
        <w:pStyle w:val="ListParagraph"/>
        <w:numPr>
          <w:ilvl w:val="0"/>
          <w:numId w:val="1"/>
        </w:numPr>
        <w:rPr>
          <w:rFonts w:ascii="Times New Roman" w:hAnsi="Times New Roman"/>
          <w:bCs/>
          <w:color w:val="000000" w:themeColor="text1"/>
          <w:sz w:val="24"/>
        </w:rPr>
      </w:pPr>
      <w:r w:rsidRPr="000A1260">
        <w:rPr>
          <w:rFonts w:ascii="Times New Roman" w:hAnsi="Times New Roman"/>
          <w:bCs/>
          <w:color w:val="000000" w:themeColor="text1"/>
          <w:sz w:val="24"/>
        </w:rPr>
        <w:t>Tuition Fee Reduction</w:t>
      </w:r>
    </w:p>
    <w:p w14:paraId="41479DA9" w14:textId="77777777" w:rsidR="00A0692A" w:rsidRPr="000A1260" w:rsidRDefault="00A0692A" w:rsidP="00CF7E59">
      <w:pPr>
        <w:pStyle w:val="ListParagraph"/>
        <w:numPr>
          <w:ilvl w:val="0"/>
          <w:numId w:val="1"/>
        </w:numPr>
        <w:rPr>
          <w:rFonts w:ascii="Times New Roman" w:hAnsi="Times New Roman"/>
          <w:bCs/>
          <w:color w:val="000000" w:themeColor="text1"/>
          <w:sz w:val="24"/>
        </w:rPr>
      </w:pPr>
      <w:r w:rsidRPr="000A1260">
        <w:rPr>
          <w:rFonts w:ascii="Times New Roman" w:hAnsi="Times New Roman"/>
          <w:bCs/>
          <w:color w:val="000000" w:themeColor="text1"/>
          <w:sz w:val="24"/>
        </w:rPr>
        <w:t>Living Expenses</w:t>
      </w:r>
    </w:p>
    <w:p w14:paraId="737820A7"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Description</w:t>
      </w:r>
    </w:p>
    <w:p w14:paraId="628992B6"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The Aga Khan Foundation Provides a Limited Number of Scholarships Each Year for Postgraduate Studies to Outstanding Students from Select Developing Countries Who Have No Other Means of Financing Their Studies, in Order to Develop Effective Scholars and Leaders and to Prepare Them for Employment, Primarily within the AKDN.</w:t>
      </w:r>
    </w:p>
    <w:p w14:paraId="4F84B01E"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Eligibility</w:t>
      </w:r>
    </w:p>
    <w:p w14:paraId="37CF95E7" w14:textId="44B919C7" w:rsidR="00A0692A" w:rsidRPr="000A1260" w:rsidRDefault="00A0692A" w:rsidP="00A0692A">
      <w:pPr>
        <w:rPr>
          <w:rFonts w:ascii="Times New Roman" w:hAnsi="Times New Roman"/>
          <w:bCs/>
          <w:color w:val="000000" w:themeColor="text1"/>
          <w:sz w:val="24"/>
          <w:u w:val="single"/>
        </w:rPr>
      </w:pPr>
      <w:r w:rsidRPr="000A1260">
        <w:rPr>
          <w:rFonts w:ascii="Times New Roman" w:hAnsi="Times New Roman"/>
          <w:bCs/>
          <w:color w:val="000000" w:themeColor="text1"/>
          <w:sz w:val="24"/>
          <w:u w:val="single"/>
        </w:rPr>
        <w:t>Applicants Must Meet the Following Criteria in Order to Apply for the Programme:</w:t>
      </w:r>
    </w:p>
    <w:p w14:paraId="31B6965C"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Excellent Academic Records.</w:t>
      </w:r>
    </w:p>
    <w:p w14:paraId="44B32049" w14:textId="05C14296"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Genuine Financial Need. Financial Assistance Is Provided According to the Needs of Students, but the ISP Must Be Considered a Resource of Last Resort. Applicants Must Demonstrate That They Have Explored and Secured Multiple Sources of Funding. The Award Funding Need Is Determined Individually, by Deducting from the Eligible Student Expenses, the Total of Other Grants, Loans (If Any), Parental Contribution and Student Employment Income. All Students Are Encouraged to Try to Reduce the Amount Requested from the Foundation by Applying to Other Sources of Assistance as Well.</w:t>
      </w:r>
    </w:p>
    <w:p w14:paraId="26EA7AB2"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Admission to a Reputable Postgraduate Institution of Higher Learning. The Programme Gives Priority to Master's Degree Courses but Also Considers Applications for PhD Studies. Local/Regional Universities and Distance Learning Programmes Are Acceptable for ISP Funding, If the Quality of the Courses Is Maintained.</w:t>
      </w:r>
    </w:p>
    <w:p w14:paraId="0C71C0E7"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Strong Professional Experience, Extracurricular Achievements, Volunteer Contributions and Leadership Skills.</w:t>
      </w:r>
    </w:p>
    <w:p w14:paraId="03022747"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lastRenderedPageBreak/>
        <w:t>Scholarship Requirements</w:t>
      </w:r>
    </w:p>
    <w:p w14:paraId="04A97B9B"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Disciplines:</w:t>
      </w:r>
      <w:r w:rsidRPr="000A1260">
        <w:rPr>
          <w:rFonts w:ascii="Times New Roman" w:hAnsi="Times New Roman"/>
          <w:bCs/>
          <w:color w:val="000000" w:themeColor="text1"/>
          <w:sz w:val="24"/>
        </w:rPr>
        <w:t xml:space="preserve"> Any</w:t>
      </w:r>
    </w:p>
    <w:p w14:paraId="74F78E3F"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 xml:space="preserve">Locations: </w:t>
      </w:r>
      <w:r w:rsidRPr="000A1260">
        <w:rPr>
          <w:rFonts w:ascii="Times New Roman" w:hAnsi="Times New Roman"/>
          <w:bCs/>
          <w:color w:val="000000" w:themeColor="text1"/>
          <w:sz w:val="24"/>
        </w:rPr>
        <w:t>2 Countries</w:t>
      </w:r>
    </w:p>
    <w:p w14:paraId="58190CC6"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Nationality:</w:t>
      </w:r>
      <w:r w:rsidRPr="000A1260">
        <w:rPr>
          <w:rFonts w:ascii="Times New Roman" w:hAnsi="Times New Roman"/>
          <w:bCs/>
          <w:color w:val="000000" w:themeColor="text1"/>
          <w:sz w:val="24"/>
        </w:rPr>
        <w:t xml:space="preserve"> 13 Nationalities</w:t>
      </w:r>
    </w:p>
    <w:p w14:paraId="540BE943"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Study Experience Required:</w:t>
      </w:r>
      <w:r w:rsidRPr="000A1260">
        <w:rPr>
          <w:rFonts w:ascii="Times New Roman" w:hAnsi="Times New Roman"/>
          <w:bCs/>
          <w:color w:val="000000" w:themeColor="text1"/>
          <w:sz w:val="24"/>
        </w:rPr>
        <w:t xml:space="preserve"> Bachelor</w:t>
      </w:r>
    </w:p>
    <w:p w14:paraId="6800874E" w14:textId="0A198083"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 xml:space="preserve">Age: </w:t>
      </w:r>
      <w:r w:rsidR="00F30B7D" w:rsidRPr="000A1260">
        <w:rPr>
          <w:rFonts w:ascii="Times New Roman" w:hAnsi="Times New Roman"/>
          <w:bCs/>
          <w:color w:val="000000" w:themeColor="text1"/>
          <w:sz w:val="24"/>
        </w:rPr>
        <w:t>Not Specified</w:t>
      </w:r>
    </w:p>
    <w:p w14:paraId="5DF8E0B9" w14:textId="77777777" w:rsidR="00A0692A" w:rsidRPr="000A1260" w:rsidRDefault="00A0692A" w:rsidP="00A0692A">
      <w:pPr>
        <w:rPr>
          <w:rFonts w:ascii="Times New Roman" w:hAnsi="Times New Roman"/>
          <w:b/>
          <w:color w:val="000000" w:themeColor="text1"/>
          <w:sz w:val="24"/>
        </w:rPr>
      </w:pPr>
      <w:r w:rsidRPr="000A1260">
        <w:rPr>
          <w:rFonts w:ascii="Times New Roman" w:hAnsi="Times New Roman"/>
          <w:b/>
          <w:color w:val="000000" w:themeColor="text1"/>
          <w:sz w:val="24"/>
        </w:rPr>
        <w:t>Application</w:t>
      </w:r>
    </w:p>
    <w:p w14:paraId="2FD2046E"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
          <w:color w:val="000000" w:themeColor="text1"/>
          <w:sz w:val="24"/>
        </w:rPr>
        <w:t xml:space="preserve">Application Deadline: </w:t>
      </w:r>
      <w:r w:rsidRPr="000A1260">
        <w:rPr>
          <w:rFonts w:ascii="Times New Roman" w:hAnsi="Times New Roman"/>
          <w:bCs/>
          <w:color w:val="000000" w:themeColor="text1"/>
          <w:sz w:val="24"/>
        </w:rPr>
        <w:t>Not Specified</w:t>
      </w:r>
    </w:p>
    <w:p w14:paraId="2700C708"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The 2023-2024 Cycle Is Now Closed. The 2024-2025 Cycle Will Open in January 2024. Interested Students Must Contact the Local Office for Application Forms, Deadline Dates and Application Requirements, as These May Vary by Country.</w:t>
      </w:r>
    </w:p>
    <w:p w14:paraId="63E033ED"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Completed Applications Must Be Submitted to the Agency from Which the ISP Application Form Was Obtained. Late or Incomplete Applications Will Not Be Accepted.</w:t>
      </w:r>
    </w:p>
    <w:p w14:paraId="2B3509E1" w14:textId="77777777" w:rsidR="00A0692A"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Local Scholarship Committees May Interview Applicants about Their Financial Situation, Academic Performance, Extra-curricular Achievements and Career Plans.</w:t>
      </w:r>
    </w:p>
    <w:p w14:paraId="5866A203" w14:textId="3E010238" w:rsidR="00604B8D" w:rsidRPr="000A1260" w:rsidRDefault="00A0692A" w:rsidP="00A0692A">
      <w:pPr>
        <w:rPr>
          <w:rFonts w:ascii="Times New Roman" w:hAnsi="Times New Roman"/>
          <w:bCs/>
          <w:color w:val="000000" w:themeColor="text1"/>
          <w:sz w:val="24"/>
        </w:rPr>
      </w:pPr>
      <w:r w:rsidRPr="000A1260">
        <w:rPr>
          <w:rFonts w:ascii="Times New Roman" w:hAnsi="Times New Roman"/>
          <w:bCs/>
          <w:color w:val="000000" w:themeColor="text1"/>
          <w:sz w:val="24"/>
        </w:rPr>
        <w:t>As This Is a Global, Competitive Award, Final Decisions Are Made by an International Selection Panel in July. Students Who Are Part of the Final, Global Round Will Be Informed of the Outcome of Their Application Shortly Thereafter.</w:t>
      </w:r>
    </w:p>
    <w:sectPr w:rsidR="00604B8D" w:rsidRPr="000A12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65C7"/>
    <w:multiLevelType w:val="hybridMultilevel"/>
    <w:tmpl w:val="94CCFF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040366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4FF"/>
    <w:rsid w:val="000A1260"/>
    <w:rsid w:val="00604B8D"/>
    <w:rsid w:val="006151E8"/>
    <w:rsid w:val="006174FF"/>
    <w:rsid w:val="006632AE"/>
    <w:rsid w:val="006E791B"/>
    <w:rsid w:val="00881927"/>
    <w:rsid w:val="00A0692A"/>
    <w:rsid w:val="00B62C4F"/>
    <w:rsid w:val="00CF7E59"/>
    <w:rsid w:val="00DB2062"/>
    <w:rsid w:val="00F30B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6BD8"/>
  <w15:chartTrackingRefBased/>
  <w15:docId w15:val="{3DD10758-74A7-4F38-A241-D08E16716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8547419">
      <w:bodyDiv w:val="1"/>
      <w:marLeft w:val="0"/>
      <w:marRight w:val="0"/>
      <w:marTop w:val="0"/>
      <w:marBottom w:val="0"/>
      <w:divBdr>
        <w:top w:val="none" w:sz="0" w:space="0" w:color="auto"/>
        <w:left w:val="none" w:sz="0" w:space="0" w:color="auto"/>
        <w:bottom w:val="none" w:sz="0" w:space="0" w:color="auto"/>
        <w:right w:val="none" w:sz="0" w:space="0" w:color="auto"/>
      </w:divBdr>
      <w:divsChild>
        <w:div w:id="1748381695">
          <w:marLeft w:val="0"/>
          <w:marRight w:val="0"/>
          <w:marTop w:val="0"/>
          <w:marBottom w:val="0"/>
          <w:divBdr>
            <w:top w:val="single" w:sz="2" w:space="0" w:color="E3E3E3"/>
            <w:left w:val="single" w:sz="2" w:space="0" w:color="E3E3E3"/>
            <w:bottom w:val="single" w:sz="2" w:space="0" w:color="E3E3E3"/>
            <w:right w:val="single" w:sz="2" w:space="0" w:color="E3E3E3"/>
          </w:divBdr>
          <w:divsChild>
            <w:div w:id="71702883">
              <w:marLeft w:val="0"/>
              <w:marRight w:val="0"/>
              <w:marTop w:val="0"/>
              <w:marBottom w:val="0"/>
              <w:divBdr>
                <w:top w:val="single" w:sz="2" w:space="0" w:color="E3E3E3"/>
                <w:left w:val="single" w:sz="2" w:space="0" w:color="E3E3E3"/>
                <w:bottom w:val="single" w:sz="2" w:space="0" w:color="E3E3E3"/>
                <w:right w:val="single" w:sz="2" w:space="0" w:color="E3E3E3"/>
              </w:divBdr>
              <w:divsChild>
                <w:div w:id="46682531">
                  <w:marLeft w:val="0"/>
                  <w:marRight w:val="0"/>
                  <w:marTop w:val="0"/>
                  <w:marBottom w:val="0"/>
                  <w:divBdr>
                    <w:top w:val="single" w:sz="2" w:space="0" w:color="E3E3E3"/>
                    <w:left w:val="single" w:sz="2" w:space="0" w:color="E3E3E3"/>
                    <w:bottom w:val="single" w:sz="2" w:space="0" w:color="E3E3E3"/>
                    <w:right w:val="single" w:sz="2" w:space="0" w:color="E3E3E3"/>
                  </w:divBdr>
                  <w:divsChild>
                    <w:div w:id="582376811">
                      <w:marLeft w:val="0"/>
                      <w:marRight w:val="0"/>
                      <w:marTop w:val="0"/>
                      <w:marBottom w:val="0"/>
                      <w:divBdr>
                        <w:top w:val="single" w:sz="2" w:space="0" w:color="E3E3E3"/>
                        <w:left w:val="single" w:sz="2" w:space="0" w:color="E3E3E3"/>
                        <w:bottom w:val="single" w:sz="2" w:space="0" w:color="E3E3E3"/>
                        <w:right w:val="single" w:sz="2" w:space="0" w:color="E3E3E3"/>
                      </w:divBdr>
                      <w:divsChild>
                        <w:div w:id="1505437636">
                          <w:marLeft w:val="0"/>
                          <w:marRight w:val="0"/>
                          <w:marTop w:val="0"/>
                          <w:marBottom w:val="0"/>
                          <w:divBdr>
                            <w:top w:val="single" w:sz="2" w:space="0" w:color="E3E3E3"/>
                            <w:left w:val="single" w:sz="2" w:space="0" w:color="E3E3E3"/>
                            <w:bottom w:val="single" w:sz="2" w:space="0" w:color="E3E3E3"/>
                            <w:right w:val="single" w:sz="2" w:space="0" w:color="E3E3E3"/>
                          </w:divBdr>
                          <w:divsChild>
                            <w:div w:id="601382567">
                              <w:marLeft w:val="0"/>
                              <w:marRight w:val="0"/>
                              <w:marTop w:val="100"/>
                              <w:marBottom w:val="100"/>
                              <w:divBdr>
                                <w:top w:val="single" w:sz="2" w:space="0" w:color="E3E3E3"/>
                                <w:left w:val="single" w:sz="2" w:space="0" w:color="E3E3E3"/>
                                <w:bottom w:val="single" w:sz="2" w:space="0" w:color="E3E3E3"/>
                                <w:right w:val="single" w:sz="2" w:space="0" w:color="E3E3E3"/>
                              </w:divBdr>
                              <w:divsChild>
                                <w:div w:id="445543940">
                                  <w:marLeft w:val="0"/>
                                  <w:marRight w:val="0"/>
                                  <w:marTop w:val="0"/>
                                  <w:marBottom w:val="0"/>
                                  <w:divBdr>
                                    <w:top w:val="single" w:sz="2" w:space="0" w:color="E3E3E3"/>
                                    <w:left w:val="single" w:sz="2" w:space="0" w:color="E3E3E3"/>
                                    <w:bottom w:val="single" w:sz="2" w:space="0" w:color="E3E3E3"/>
                                    <w:right w:val="single" w:sz="2" w:space="0" w:color="E3E3E3"/>
                                  </w:divBdr>
                                  <w:divsChild>
                                    <w:div w:id="605894460">
                                      <w:marLeft w:val="0"/>
                                      <w:marRight w:val="0"/>
                                      <w:marTop w:val="0"/>
                                      <w:marBottom w:val="0"/>
                                      <w:divBdr>
                                        <w:top w:val="single" w:sz="2" w:space="0" w:color="E3E3E3"/>
                                        <w:left w:val="single" w:sz="2" w:space="0" w:color="E3E3E3"/>
                                        <w:bottom w:val="single" w:sz="2" w:space="0" w:color="E3E3E3"/>
                                        <w:right w:val="single" w:sz="2" w:space="0" w:color="E3E3E3"/>
                                      </w:divBdr>
                                      <w:divsChild>
                                        <w:div w:id="1819833460">
                                          <w:marLeft w:val="0"/>
                                          <w:marRight w:val="0"/>
                                          <w:marTop w:val="0"/>
                                          <w:marBottom w:val="0"/>
                                          <w:divBdr>
                                            <w:top w:val="single" w:sz="2" w:space="0" w:color="E3E3E3"/>
                                            <w:left w:val="single" w:sz="2" w:space="0" w:color="E3E3E3"/>
                                            <w:bottom w:val="single" w:sz="2" w:space="0" w:color="E3E3E3"/>
                                            <w:right w:val="single" w:sz="2" w:space="0" w:color="E3E3E3"/>
                                          </w:divBdr>
                                          <w:divsChild>
                                            <w:div w:id="1452816991">
                                              <w:marLeft w:val="0"/>
                                              <w:marRight w:val="0"/>
                                              <w:marTop w:val="0"/>
                                              <w:marBottom w:val="0"/>
                                              <w:divBdr>
                                                <w:top w:val="single" w:sz="2" w:space="0" w:color="E3E3E3"/>
                                                <w:left w:val="single" w:sz="2" w:space="0" w:color="E3E3E3"/>
                                                <w:bottom w:val="single" w:sz="2" w:space="0" w:color="E3E3E3"/>
                                                <w:right w:val="single" w:sz="2" w:space="0" w:color="E3E3E3"/>
                                              </w:divBdr>
                                              <w:divsChild>
                                                <w:div w:id="460223945">
                                                  <w:marLeft w:val="0"/>
                                                  <w:marRight w:val="0"/>
                                                  <w:marTop w:val="0"/>
                                                  <w:marBottom w:val="0"/>
                                                  <w:divBdr>
                                                    <w:top w:val="single" w:sz="2" w:space="0" w:color="E3E3E3"/>
                                                    <w:left w:val="single" w:sz="2" w:space="0" w:color="E3E3E3"/>
                                                    <w:bottom w:val="single" w:sz="2" w:space="0" w:color="E3E3E3"/>
                                                    <w:right w:val="single" w:sz="2" w:space="0" w:color="E3E3E3"/>
                                                  </w:divBdr>
                                                  <w:divsChild>
                                                    <w:div w:id="9716391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200554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11</cp:revision>
  <dcterms:created xsi:type="dcterms:W3CDTF">2024-03-18T10:09:00Z</dcterms:created>
  <dcterms:modified xsi:type="dcterms:W3CDTF">2024-03-28T12:12:00Z</dcterms:modified>
</cp:coreProperties>
</file>