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61B563"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The Association of Commonwealth Universities</w:t>
      </w:r>
    </w:p>
    <w:p w14:paraId="697865DD"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The Queen Elizabeth Commonwealth Scholarships</w:t>
      </w:r>
    </w:p>
    <w:p w14:paraId="653D4093" w14:textId="1D2DEEC7" w:rsidR="00C17849" w:rsidRPr="00E34564" w:rsidRDefault="00C17849" w:rsidP="003F64EB">
      <w:pPr>
        <w:rPr>
          <w:rFonts w:ascii="Times New Roman" w:hAnsi="Times New Roman"/>
          <w:color w:val="000000" w:themeColor="text1"/>
          <w:sz w:val="24"/>
          <w:u w:val="single"/>
        </w:rPr>
      </w:pPr>
      <w:r w:rsidRPr="00E34564">
        <w:rPr>
          <w:rFonts w:ascii="Times New Roman" w:hAnsi="Times New Roman"/>
          <w:color w:val="000000" w:themeColor="text1"/>
          <w:sz w:val="24"/>
          <w:u w:val="single"/>
        </w:rPr>
        <w:t>https://www.acu.ac.uk/funding-opportunities/for-students/scholarships/queen-elizabeth-commonwealth-scholarships/</w:t>
      </w:r>
    </w:p>
    <w:p w14:paraId="4AE8B364"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About</w:t>
      </w:r>
    </w:p>
    <w:p w14:paraId="5C36D094"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color w:val="000000" w:themeColor="text1"/>
          <w:sz w:val="24"/>
        </w:rPr>
        <w:t>The ACU is committed to delivering educational opportunities that make a positive and lasting difference. One of the ways they do this is through the management of world-class international mobility and scholarship schemes that build enduring international connections and understanding between individuals, institutions, and nations.</w:t>
      </w:r>
    </w:p>
    <w:p w14:paraId="3DECA205"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Eligibility</w:t>
      </w:r>
    </w:p>
    <w:p w14:paraId="3A107501" w14:textId="1F488DF6" w:rsidR="003F64EB" w:rsidRPr="00E34564" w:rsidRDefault="003F64EB" w:rsidP="00166900">
      <w:pPr>
        <w:pStyle w:val="ListParagraph"/>
        <w:numPr>
          <w:ilvl w:val="0"/>
          <w:numId w:val="1"/>
        </w:numPr>
        <w:rPr>
          <w:rFonts w:ascii="Times New Roman" w:hAnsi="Times New Roman"/>
          <w:color w:val="000000" w:themeColor="text1"/>
          <w:sz w:val="24"/>
        </w:rPr>
      </w:pPr>
      <w:r w:rsidRPr="00E34564">
        <w:rPr>
          <w:rFonts w:ascii="Times New Roman" w:hAnsi="Times New Roman"/>
          <w:color w:val="000000" w:themeColor="text1"/>
          <w:sz w:val="24"/>
        </w:rPr>
        <w:t>Must be citizens (or those who hold refugee status) in a Commonwealth country.</w:t>
      </w:r>
    </w:p>
    <w:p w14:paraId="24658361" w14:textId="2A565860" w:rsidR="003F64EB" w:rsidRPr="00E34564" w:rsidRDefault="003F64EB" w:rsidP="00166900">
      <w:pPr>
        <w:pStyle w:val="ListParagraph"/>
        <w:numPr>
          <w:ilvl w:val="0"/>
          <w:numId w:val="1"/>
        </w:numPr>
        <w:rPr>
          <w:rFonts w:ascii="Times New Roman" w:hAnsi="Times New Roman"/>
          <w:color w:val="000000" w:themeColor="text1"/>
          <w:sz w:val="24"/>
        </w:rPr>
      </w:pPr>
      <w:r w:rsidRPr="00E34564">
        <w:rPr>
          <w:rFonts w:ascii="Times New Roman" w:hAnsi="Times New Roman"/>
          <w:color w:val="000000" w:themeColor="text1"/>
          <w:sz w:val="24"/>
        </w:rPr>
        <w:t>Please check with your preferred university to ensure you meet the entry requirements for your chosen courses.</w:t>
      </w:r>
    </w:p>
    <w:p w14:paraId="656DD5CF"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Scholarship Requirements</w:t>
      </w:r>
    </w:p>
    <w:p w14:paraId="41B06188"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Disciplines:</w:t>
      </w:r>
      <w:r w:rsidRPr="00E34564">
        <w:rPr>
          <w:rFonts w:ascii="Times New Roman" w:hAnsi="Times New Roman"/>
          <w:color w:val="000000" w:themeColor="text1"/>
          <w:sz w:val="24"/>
        </w:rPr>
        <w:t xml:space="preserve"> Any</w:t>
      </w:r>
    </w:p>
    <w:p w14:paraId="269A777F"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Locations:</w:t>
      </w:r>
      <w:r w:rsidRPr="00E34564">
        <w:rPr>
          <w:rFonts w:ascii="Times New Roman" w:hAnsi="Times New Roman"/>
          <w:color w:val="000000" w:themeColor="text1"/>
          <w:sz w:val="24"/>
        </w:rPr>
        <w:t xml:space="preserve"> 5 Countries</w:t>
      </w:r>
    </w:p>
    <w:p w14:paraId="0EE71BDB"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Nationality:</w:t>
      </w:r>
      <w:r w:rsidRPr="00E34564">
        <w:rPr>
          <w:rFonts w:ascii="Times New Roman" w:hAnsi="Times New Roman"/>
          <w:color w:val="000000" w:themeColor="text1"/>
          <w:sz w:val="24"/>
        </w:rPr>
        <w:t xml:space="preserve"> 47+ nationalities</w:t>
      </w:r>
    </w:p>
    <w:p w14:paraId="5324566E"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Study Experience Required:</w:t>
      </w:r>
      <w:r w:rsidRPr="00E34564">
        <w:rPr>
          <w:rFonts w:ascii="Times New Roman" w:hAnsi="Times New Roman"/>
          <w:color w:val="000000" w:themeColor="text1"/>
          <w:sz w:val="24"/>
        </w:rPr>
        <w:t xml:space="preserve"> High School</w:t>
      </w:r>
    </w:p>
    <w:p w14:paraId="3414AACE" w14:textId="2406D29D"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Age:</w:t>
      </w:r>
      <w:r w:rsidRPr="00E34564">
        <w:rPr>
          <w:rFonts w:ascii="Times New Roman" w:hAnsi="Times New Roman"/>
          <w:color w:val="000000" w:themeColor="text1"/>
          <w:sz w:val="24"/>
        </w:rPr>
        <w:t xml:space="preserve"> </w:t>
      </w:r>
      <w:r w:rsidR="00166900" w:rsidRPr="00E34564">
        <w:rPr>
          <w:rFonts w:ascii="Times New Roman" w:hAnsi="Times New Roman"/>
          <w:color w:val="000000" w:themeColor="text1"/>
          <w:sz w:val="24"/>
        </w:rPr>
        <w:t>N</w:t>
      </w:r>
      <w:r w:rsidR="00AC25FD" w:rsidRPr="00E34564">
        <w:rPr>
          <w:rFonts w:ascii="Times New Roman" w:hAnsi="Times New Roman"/>
          <w:color w:val="000000" w:themeColor="text1"/>
          <w:sz w:val="24"/>
        </w:rPr>
        <w:t>ot Specified</w:t>
      </w:r>
    </w:p>
    <w:p w14:paraId="17E96972"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Description</w:t>
      </w:r>
    </w:p>
    <w:p w14:paraId="707EEE43"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color w:val="000000" w:themeColor="text1"/>
          <w:sz w:val="24"/>
        </w:rPr>
        <w:t>The Queen Elizabeth Commonwealth Scholarships (QECS) offer a unique opportunity to study a two-year Master's degree in a low- or middle-income Commonwealth country. Aimed at students who are committed to creating change in their communities, the scholarships are a life-changing opportunity to experience a new country and culture, to broaden horizons, and to build a global network that will last a lifetime. Through cultural exchange and academic collaboration, Queen Elizabeth Commonwealth Scholars help bring about positive change and find solutions to the shared challenges we face - both in their home countries and those that host them. As an active part of the Commonwealth network, scholars will help shape its future.</w:t>
      </w:r>
    </w:p>
    <w:p w14:paraId="508774DA"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Application</w:t>
      </w:r>
    </w:p>
    <w:p w14:paraId="779ABA6A"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 xml:space="preserve">Application Deadline: </w:t>
      </w:r>
      <w:r w:rsidRPr="00E34564">
        <w:rPr>
          <w:rFonts w:ascii="Times New Roman" w:hAnsi="Times New Roman"/>
          <w:color w:val="000000" w:themeColor="text1"/>
          <w:sz w:val="24"/>
        </w:rPr>
        <w:t>24 May 2024</w:t>
      </w:r>
    </w:p>
    <w:p w14:paraId="05EE71F1"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color w:val="000000" w:themeColor="text1"/>
          <w:sz w:val="24"/>
        </w:rPr>
        <w:t>Only universities listed on the QECS homepage are hosts for the current application cycle. The application form consists of the following sections:</w:t>
      </w:r>
    </w:p>
    <w:p w14:paraId="2795E0BA" w14:textId="50F412B5"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Eligibility</w:t>
      </w:r>
    </w:p>
    <w:p w14:paraId="3BDAFF8F" w14:textId="18F813F5"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t>Personal Details</w:t>
      </w:r>
    </w:p>
    <w:p w14:paraId="5B8AEF6F" w14:textId="4420395E"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t>Academic &amp; Employment Record</w:t>
      </w:r>
    </w:p>
    <w:p w14:paraId="7C105108" w14:textId="40B7EAE7"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lastRenderedPageBreak/>
        <w:t>Course at host university details</w:t>
      </w:r>
    </w:p>
    <w:p w14:paraId="1901ACB3" w14:textId="7C602C78"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t>Statements</w:t>
      </w:r>
    </w:p>
    <w:p w14:paraId="704B0E30" w14:textId="7B1B5327"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t>Upload supporting documents (including references)</w:t>
      </w:r>
    </w:p>
    <w:p w14:paraId="0A6C4C5D" w14:textId="22C7262B"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t>The statement section is formed of three main statements which applicants need to provide. Guidance for what is required for each statement is shown below as well as on the application form itself.</w:t>
      </w:r>
    </w:p>
    <w:p w14:paraId="77BA4840" w14:textId="55D2B445" w:rsidR="003F64EB" w:rsidRPr="00E34564" w:rsidRDefault="003F64EB" w:rsidP="00802679">
      <w:pPr>
        <w:pStyle w:val="ListParagraph"/>
        <w:numPr>
          <w:ilvl w:val="0"/>
          <w:numId w:val="2"/>
        </w:numPr>
        <w:rPr>
          <w:rFonts w:ascii="Times New Roman" w:hAnsi="Times New Roman"/>
          <w:color w:val="000000" w:themeColor="text1"/>
          <w:sz w:val="24"/>
        </w:rPr>
      </w:pPr>
      <w:r w:rsidRPr="00E34564">
        <w:rPr>
          <w:rFonts w:ascii="Times New Roman" w:hAnsi="Times New Roman"/>
          <w:color w:val="000000" w:themeColor="text1"/>
          <w:sz w:val="24"/>
        </w:rPr>
        <w:t>Plagiarism is not allowed. Applications shown to be plagiarised will not be considered.</w:t>
      </w:r>
    </w:p>
    <w:p w14:paraId="4072AF7E"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Overview</w:t>
      </w:r>
    </w:p>
    <w:p w14:paraId="0AC35283"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Scholarship Type:</w:t>
      </w:r>
      <w:r w:rsidRPr="00E34564">
        <w:rPr>
          <w:rFonts w:ascii="Times New Roman" w:hAnsi="Times New Roman"/>
          <w:color w:val="000000" w:themeColor="text1"/>
          <w:sz w:val="24"/>
        </w:rPr>
        <w:t xml:space="preserve"> Merit and Need Based</w:t>
      </w:r>
    </w:p>
    <w:p w14:paraId="024127FC"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Number of Scholarships to Award:</w:t>
      </w:r>
      <w:r w:rsidRPr="00E34564">
        <w:rPr>
          <w:rFonts w:ascii="Times New Roman" w:hAnsi="Times New Roman"/>
          <w:color w:val="000000" w:themeColor="text1"/>
          <w:sz w:val="24"/>
        </w:rPr>
        <w:t xml:space="preserve"> Multiple</w:t>
      </w:r>
    </w:p>
    <w:p w14:paraId="18A7B176" w14:textId="77777777" w:rsidR="003F64EB" w:rsidRPr="00E34564" w:rsidRDefault="003F64EB" w:rsidP="003F64EB">
      <w:pPr>
        <w:rPr>
          <w:rFonts w:ascii="Times New Roman" w:hAnsi="Times New Roman"/>
          <w:color w:val="000000" w:themeColor="text1"/>
          <w:sz w:val="24"/>
        </w:rPr>
      </w:pPr>
      <w:r w:rsidRPr="00E34564">
        <w:rPr>
          <w:rFonts w:ascii="Times New Roman" w:hAnsi="Times New Roman"/>
          <w:b/>
          <w:bCs/>
          <w:color w:val="000000" w:themeColor="text1"/>
          <w:sz w:val="24"/>
        </w:rPr>
        <w:t>Grant:</w:t>
      </w:r>
      <w:r w:rsidRPr="00E34564">
        <w:rPr>
          <w:rFonts w:ascii="Times New Roman" w:hAnsi="Times New Roman"/>
          <w:color w:val="000000" w:themeColor="text1"/>
          <w:sz w:val="24"/>
        </w:rPr>
        <w:t xml:space="preserve"> Full Tuition Waiver + Other Benefits</w:t>
      </w:r>
    </w:p>
    <w:p w14:paraId="744FB736"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Scholarship Coverage</w:t>
      </w:r>
    </w:p>
    <w:p w14:paraId="31347E11" w14:textId="0A47075F" w:rsidR="003F64EB" w:rsidRPr="00E34564" w:rsidRDefault="003F64EB" w:rsidP="005A4F66">
      <w:pPr>
        <w:pStyle w:val="ListParagraph"/>
        <w:numPr>
          <w:ilvl w:val="0"/>
          <w:numId w:val="3"/>
        </w:numPr>
        <w:rPr>
          <w:rFonts w:ascii="Times New Roman" w:hAnsi="Times New Roman"/>
          <w:color w:val="000000" w:themeColor="text1"/>
          <w:sz w:val="24"/>
        </w:rPr>
      </w:pPr>
      <w:r w:rsidRPr="00E34564">
        <w:rPr>
          <w:rFonts w:ascii="Times New Roman" w:hAnsi="Times New Roman"/>
          <w:color w:val="000000" w:themeColor="text1"/>
          <w:sz w:val="24"/>
        </w:rPr>
        <w:t>Tuition Fee Reduction</w:t>
      </w:r>
    </w:p>
    <w:p w14:paraId="45D517EF" w14:textId="2CC45754" w:rsidR="003F64EB" w:rsidRPr="00E34564" w:rsidRDefault="003F64EB" w:rsidP="005A4F66">
      <w:pPr>
        <w:pStyle w:val="ListParagraph"/>
        <w:numPr>
          <w:ilvl w:val="0"/>
          <w:numId w:val="3"/>
        </w:numPr>
        <w:rPr>
          <w:rFonts w:ascii="Times New Roman" w:hAnsi="Times New Roman"/>
          <w:color w:val="000000" w:themeColor="text1"/>
          <w:sz w:val="24"/>
        </w:rPr>
      </w:pPr>
      <w:r w:rsidRPr="00E34564">
        <w:rPr>
          <w:rFonts w:ascii="Times New Roman" w:hAnsi="Times New Roman"/>
          <w:color w:val="000000" w:themeColor="text1"/>
          <w:sz w:val="24"/>
        </w:rPr>
        <w:t>Living Expenses</w:t>
      </w:r>
    </w:p>
    <w:p w14:paraId="1B0409C9" w14:textId="3CF3F863" w:rsidR="003F64EB" w:rsidRPr="00E34564" w:rsidRDefault="003F64EB" w:rsidP="005A4F66">
      <w:pPr>
        <w:pStyle w:val="ListParagraph"/>
        <w:numPr>
          <w:ilvl w:val="0"/>
          <w:numId w:val="3"/>
        </w:numPr>
        <w:rPr>
          <w:rFonts w:ascii="Times New Roman" w:hAnsi="Times New Roman"/>
          <w:color w:val="000000" w:themeColor="text1"/>
          <w:sz w:val="24"/>
        </w:rPr>
      </w:pPr>
      <w:r w:rsidRPr="00E34564">
        <w:rPr>
          <w:rFonts w:ascii="Times New Roman" w:hAnsi="Times New Roman"/>
          <w:color w:val="000000" w:themeColor="text1"/>
          <w:sz w:val="24"/>
        </w:rPr>
        <w:t>Accommodation</w:t>
      </w:r>
    </w:p>
    <w:p w14:paraId="04F83552" w14:textId="11054515" w:rsidR="003F64EB" w:rsidRPr="00E34564" w:rsidRDefault="003F64EB" w:rsidP="005A4F66">
      <w:pPr>
        <w:pStyle w:val="ListParagraph"/>
        <w:numPr>
          <w:ilvl w:val="0"/>
          <w:numId w:val="3"/>
        </w:numPr>
        <w:rPr>
          <w:rFonts w:ascii="Times New Roman" w:hAnsi="Times New Roman"/>
          <w:color w:val="000000" w:themeColor="text1"/>
          <w:sz w:val="24"/>
        </w:rPr>
      </w:pPr>
      <w:r w:rsidRPr="00E34564">
        <w:rPr>
          <w:rFonts w:ascii="Times New Roman" w:hAnsi="Times New Roman"/>
          <w:color w:val="000000" w:themeColor="text1"/>
          <w:sz w:val="24"/>
        </w:rPr>
        <w:t>Travel Expenses</w:t>
      </w:r>
    </w:p>
    <w:p w14:paraId="41224156" w14:textId="05C0E39F" w:rsidR="003F64EB" w:rsidRPr="00E34564" w:rsidRDefault="003F64EB" w:rsidP="005A4F66">
      <w:pPr>
        <w:pStyle w:val="ListParagraph"/>
        <w:numPr>
          <w:ilvl w:val="0"/>
          <w:numId w:val="3"/>
        </w:numPr>
        <w:rPr>
          <w:rFonts w:ascii="Times New Roman" w:hAnsi="Times New Roman"/>
          <w:color w:val="000000" w:themeColor="text1"/>
          <w:sz w:val="24"/>
        </w:rPr>
      </w:pPr>
      <w:r w:rsidRPr="00E34564">
        <w:rPr>
          <w:rFonts w:ascii="Times New Roman" w:hAnsi="Times New Roman"/>
          <w:color w:val="000000" w:themeColor="text1"/>
          <w:sz w:val="24"/>
        </w:rPr>
        <w:t>Other</w:t>
      </w:r>
    </w:p>
    <w:p w14:paraId="5A316312" w14:textId="77777777" w:rsidR="003F64EB" w:rsidRPr="00E34564" w:rsidRDefault="003F64EB" w:rsidP="003F64EB">
      <w:pPr>
        <w:rPr>
          <w:rFonts w:ascii="Times New Roman" w:hAnsi="Times New Roman"/>
          <w:b/>
          <w:bCs/>
          <w:color w:val="000000" w:themeColor="text1"/>
          <w:sz w:val="24"/>
        </w:rPr>
      </w:pPr>
      <w:r w:rsidRPr="00E34564">
        <w:rPr>
          <w:rFonts w:ascii="Times New Roman" w:hAnsi="Times New Roman"/>
          <w:b/>
          <w:bCs/>
          <w:color w:val="000000" w:themeColor="text1"/>
          <w:sz w:val="24"/>
        </w:rPr>
        <w:t>Benefits</w:t>
      </w:r>
    </w:p>
    <w:p w14:paraId="33B299C8" w14:textId="77777777" w:rsidR="003F64EB" w:rsidRPr="00E34564" w:rsidRDefault="003F64EB" w:rsidP="003F64EB">
      <w:pPr>
        <w:rPr>
          <w:rFonts w:ascii="Times New Roman" w:hAnsi="Times New Roman"/>
          <w:color w:val="000000" w:themeColor="text1"/>
          <w:sz w:val="24"/>
          <w:u w:val="single"/>
        </w:rPr>
      </w:pPr>
      <w:r w:rsidRPr="00E34564">
        <w:rPr>
          <w:rFonts w:ascii="Times New Roman" w:hAnsi="Times New Roman"/>
          <w:color w:val="000000" w:themeColor="text1"/>
          <w:sz w:val="24"/>
          <w:u w:val="single"/>
        </w:rPr>
        <w:t>The scholarships cover the following:</w:t>
      </w:r>
    </w:p>
    <w:p w14:paraId="65C26B3D" w14:textId="0FC6A1D4" w:rsidR="003F64EB" w:rsidRPr="00E34564" w:rsidRDefault="003F64EB" w:rsidP="001F0FDA">
      <w:pPr>
        <w:pStyle w:val="ListParagraph"/>
        <w:numPr>
          <w:ilvl w:val="0"/>
          <w:numId w:val="4"/>
        </w:numPr>
        <w:rPr>
          <w:rFonts w:ascii="Times New Roman" w:hAnsi="Times New Roman"/>
          <w:color w:val="000000" w:themeColor="text1"/>
          <w:sz w:val="24"/>
        </w:rPr>
      </w:pPr>
      <w:r w:rsidRPr="00E34564">
        <w:rPr>
          <w:rFonts w:ascii="Times New Roman" w:hAnsi="Times New Roman"/>
          <w:color w:val="000000" w:themeColor="text1"/>
          <w:sz w:val="24"/>
        </w:rPr>
        <w:t>Fully-funded tuition fees.</w:t>
      </w:r>
    </w:p>
    <w:p w14:paraId="6E98FE57" w14:textId="3ACED59C" w:rsidR="003F64EB" w:rsidRPr="00E34564" w:rsidRDefault="003F64EB" w:rsidP="001F0FDA">
      <w:pPr>
        <w:pStyle w:val="ListParagraph"/>
        <w:numPr>
          <w:ilvl w:val="0"/>
          <w:numId w:val="4"/>
        </w:numPr>
        <w:rPr>
          <w:rFonts w:ascii="Times New Roman" w:hAnsi="Times New Roman"/>
          <w:color w:val="000000" w:themeColor="text1"/>
          <w:sz w:val="24"/>
        </w:rPr>
      </w:pPr>
      <w:r w:rsidRPr="00E34564">
        <w:rPr>
          <w:rFonts w:ascii="Times New Roman" w:hAnsi="Times New Roman"/>
          <w:color w:val="000000" w:themeColor="text1"/>
          <w:sz w:val="24"/>
        </w:rPr>
        <w:t>Living allowance (stipend) for the duration of the award.</w:t>
      </w:r>
    </w:p>
    <w:p w14:paraId="7E62411E" w14:textId="2249A53D" w:rsidR="003F64EB" w:rsidRPr="00E34564" w:rsidRDefault="003F64EB" w:rsidP="001F0FDA">
      <w:pPr>
        <w:pStyle w:val="ListParagraph"/>
        <w:numPr>
          <w:ilvl w:val="0"/>
          <w:numId w:val="4"/>
        </w:numPr>
        <w:rPr>
          <w:rFonts w:ascii="Times New Roman" w:hAnsi="Times New Roman"/>
          <w:color w:val="000000" w:themeColor="text1"/>
          <w:sz w:val="24"/>
        </w:rPr>
      </w:pPr>
      <w:r w:rsidRPr="00E34564">
        <w:rPr>
          <w:rFonts w:ascii="Times New Roman" w:hAnsi="Times New Roman"/>
          <w:color w:val="000000" w:themeColor="text1"/>
          <w:sz w:val="24"/>
        </w:rPr>
        <w:t>Return economy flights to the host country.</w:t>
      </w:r>
    </w:p>
    <w:p w14:paraId="1A69234C" w14:textId="1845687F" w:rsidR="003F64EB" w:rsidRPr="00E34564" w:rsidRDefault="003F64EB" w:rsidP="001F0FDA">
      <w:pPr>
        <w:pStyle w:val="ListParagraph"/>
        <w:numPr>
          <w:ilvl w:val="0"/>
          <w:numId w:val="4"/>
        </w:numPr>
        <w:rPr>
          <w:rFonts w:ascii="Times New Roman" w:hAnsi="Times New Roman"/>
          <w:color w:val="000000" w:themeColor="text1"/>
          <w:sz w:val="24"/>
        </w:rPr>
      </w:pPr>
      <w:r w:rsidRPr="00E34564">
        <w:rPr>
          <w:rFonts w:ascii="Times New Roman" w:hAnsi="Times New Roman"/>
          <w:color w:val="000000" w:themeColor="text1"/>
          <w:sz w:val="24"/>
        </w:rPr>
        <w:t>One-off arrival allowance.</w:t>
      </w:r>
    </w:p>
    <w:p w14:paraId="50FF575E" w14:textId="13FDFE4F" w:rsidR="0082195C" w:rsidRPr="00E34564" w:rsidRDefault="003F64EB" w:rsidP="001F0FDA">
      <w:pPr>
        <w:pStyle w:val="ListParagraph"/>
        <w:numPr>
          <w:ilvl w:val="0"/>
          <w:numId w:val="4"/>
        </w:numPr>
        <w:rPr>
          <w:rFonts w:ascii="Times New Roman" w:hAnsi="Times New Roman"/>
          <w:color w:val="000000" w:themeColor="text1"/>
          <w:sz w:val="24"/>
        </w:rPr>
      </w:pPr>
      <w:r w:rsidRPr="00E34564">
        <w:rPr>
          <w:rFonts w:ascii="Times New Roman" w:hAnsi="Times New Roman"/>
          <w:color w:val="000000" w:themeColor="text1"/>
          <w:sz w:val="24"/>
        </w:rPr>
        <w:t>Research Support Grant (on request only; subject to approval).</w:t>
      </w:r>
    </w:p>
    <w:sectPr w:rsidR="0082195C" w:rsidRPr="00E345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821374"/>
    <w:multiLevelType w:val="hybridMultilevel"/>
    <w:tmpl w:val="F642F6E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D2770EE"/>
    <w:multiLevelType w:val="hybridMultilevel"/>
    <w:tmpl w:val="7A8EFE1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40B10B91"/>
    <w:multiLevelType w:val="hybridMultilevel"/>
    <w:tmpl w:val="E7C0771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7F012B85"/>
    <w:multiLevelType w:val="hybridMultilevel"/>
    <w:tmpl w:val="846A48B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129007593">
    <w:abstractNumId w:val="3"/>
  </w:num>
  <w:num w:numId="2" w16cid:durableId="1821385457">
    <w:abstractNumId w:val="1"/>
  </w:num>
  <w:num w:numId="3" w16cid:durableId="817964786">
    <w:abstractNumId w:val="2"/>
  </w:num>
  <w:num w:numId="4" w16cid:durableId="12423301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7BC5"/>
    <w:rsid w:val="00147D2F"/>
    <w:rsid w:val="00166900"/>
    <w:rsid w:val="001F0FDA"/>
    <w:rsid w:val="003F64EB"/>
    <w:rsid w:val="005A4F66"/>
    <w:rsid w:val="0066442E"/>
    <w:rsid w:val="006D29B7"/>
    <w:rsid w:val="006E64DA"/>
    <w:rsid w:val="00802679"/>
    <w:rsid w:val="0082195C"/>
    <w:rsid w:val="00AC25FD"/>
    <w:rsid w:val="00C17849"/>
    <w:rsid w:val="00C67BC5"/>
    <w:rsid w:val="00DA4573"/>
    <w:rsid w:val="00E3456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A603D9"/>
  <w15:chartTrackingRefBased/>
  <w15:docId w15:val="{C2C4F259-EB15-461D-8939-9F7680286F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6690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413</Words>
  <Characters>2357</Characters>
  <Application>Microsoft Office Word</Application>
  <DocSecurity>0</DocSecurity>
  <Lines>19</Lines>
  <Paragraphs>5</Paragraphs>
  <ScaleCrop>false</ScaleCrop>
  <Company/>
  <LinksUpToDate>false</LinksUpToDate>
  <CharactersWithSpaces>2765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PRATIMA SHEOREY</dc:creator>
  <cp:keywords/>
  <dc:description/>
  <cp:lastModifiedBy>PRATIMA SHEOREY</cp:lastModifiedBy>
  <cp:revision>14</cp:revision>
  <dcterms:created xsi:type="dcterms:W3CDTF">2024-03-16T07:53:00Z</dcterms:created>
  <dcterms:modified xsi:type="dcterms:W3CDTF">2024-04-02T09:47:00Z</dcterms:modified>
</cp:coreProperties>
</file>