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B7AA" w14:textId="77777777" w:rsidR="000176B5" w:rsidRPr="00BF693F" w:rsidRDefault="000176B5" w:rsidP="000176B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BF693F">
        <w:rPr>
          <w:rFonts w:ascii="Times New Roman" w:hAnsi="Times New Roman"/>
          <w:b/>
          <w:bCs/>
          <w:color w:val="000000" w:themeColor="text1"/>
          <w:sz w:val="24"/>
        </w:rPr>
        <w:t>The Hong Kong University of Science and Technology</w:t>
      </w:r>
    </w:p>
    <w:p w14:paraId="5D8AEC58" w14:textId="77777777" w:rsidR="000176B5" w:rsidRPr="00BF693F" w:rsidRDefault="000176B5" w:rsidP="000176B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BF693F">
        <w:rPr>
          <w:rFonts w:ascii="Times New Roman" w:hAnsi="Times New Roman"/>
          <w:b/>
          <w:bCs/>
          <w:color w:val="000000" w:themeColor="text1"/>
          <w:sz w:val="24"/>
        </w:rPr>
        <w:t>Postgraduate Studentship (PGS)</w:t>
      </w:r>
    </w:p>
    <w:p w14:paraId="1D886A5C" w14:textId="614B2FEE" w:rsidR="00F04ADA" w:rsidRPr="00BF693F" w:rsidRDefault="00F04ADA" w:rsidP="000176B5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BF693F">
        <w:rPr>
          <w:rFonts w:ascii="Times New Roman" w:hAnsi="Times New Roman"/>
          <w:color w:val="000000" w:themeColor="text1"/>
          <w:sz w:val="24"/>
          <w:u w:val="single"/>
        </w:rPr>
        <w:t>https://fytgs.hkust.edu.hk/node/26</w:t>
      </w:r>
    </w:p>
    <w:p w14:paraId="66B0EE98" w14:textId="77777777" w:rsidR="000176B5" w:rsidRPr="00BF693F" w:rsidRDefault="000176B5" w:rsidP="000176B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BF693F">
        <w:rPr>
          <w:rFonts w:ascii="Times New Roman" w:hAnsi="Times New Roman"/>
          <w:b/>
          <w:bCs/>
          <w:color w:val="000000" w:themeColor="text1"/>
          <w:sz w:val="24"/>
        </w:rPr>
        <w:t>About</w:t>
      </w:r>
    </w:p>
    <w:p w14:paraId="16D4861A" w14:textId="3E5B926F" w:rsidR="000176B5" w:rsidRPr="00BF693F" w:rsidRDefault="000176B5" w:rsidP="000176B5">
      <w:pPr>
        <w:rPr>
          <w:rFonts w:ascii="Times New Roman" w:hAnsi="Times New Roman"/>
          <w:color w:val="000000" w:themeColor="text1"/>
          <w:sz w:val="24"/>
        </w:rPr>
      </w:pPr>
      <w:r w:rsidRPr="00BF693F">
        <w:rPr>
          <w:rFonts w:ascii="Times New Roman" w:hAnsi="Times New Roman"/>
          <w:color w:val="000000" w:themeColor="text1"/>
          <w:sz w:val="24"/>
        </w:rPr>
        <w:t>HKUST provides various scholarships for you to join their research and taught postgraduate community, which can well cover your tuition fee, accommodation fee and other living costs.</w:t>
      </w:r>
    </w:p>
    <w:p w14:paraId="36E88282" w14:textId="14340C4F" w:rsidR="000176B5" w:rsidRPr="00BF693F" w:rsidRDefault="000176B5" w:rsidP="000176B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BF693F">
        <w:rPr>
          <w:rFonts w:ascii="Times New Roman" w:hAnsi="Times New Roman"/>
          <w:b/>
          <w:bCs/>
          <w:color w:val="000000" w:themeColor="text1"/>
          <w:sz w:val="24"/>
        </w:rPr>
        <w:t>Overview</w:t>
      </w:r>
    </w:p>
    <w:p w14:paraId="10E38195" w14:textId="77777777" w:rsidR="000176B5" w:rsidRPr="00BF693F" w:rsidRDefault="000176B5" w:rsidP="000176B5">
      <w:pPr>
        <w:rPr>
          <w:rFonts w:ascii="Times New Roman" w:hAnsi="Times New Roman"/>
          <w:color w:val="000000" w:themeColor="text1"/>
          <w:sz w:val="24"/>
        </w:rPr>
      </w:pPr>
      <w:r w:rsidRPr="00BF693F">
        <w:rPr>
          <w:rFonts w:ascii="Times New Roman" w:hAnsi="Times New Roman"/>
          <w:b/>
          <w:bCs/>
          <w:color w:val="000000" w:themeColor="text1"/>
          <w:sz w:val="24"/>
        </w:rPr>
        <w:t xml:space="preserve">Scholarship Type: </w:t>
      </w:r>
      <w:r w:rsidRPr="00BF693F">
        <w:rPr>
          <w:rFonts w:ascii="Times New Roman" w:hAnsi="Times New Roman"/>
          <w:color w:val="000000" w:themeColor="text1"/>
          <w:sz w:val="24"/>
        </w:rPr>
        <w:t>Merit-based</w:t>
      </w:r>
    </w:p>
    <w:p w14:paraId="02EEE821" w14:textId="77777777" w:rsidR="000176B5" w:rsidRPr="00BF693F" w:rsidRDefault="000176B5" w:rsidP="000176B5">
      <w:pPr>
        <w:rPr>
          <w:rFonts w:ascii="Times New Roman" w:hAnsi="Times New Roman"/>
          <w:color w:val="000000" w:themeColor="text1"/>
          <w:sz w:val="24"/>
        </w:rPr>
      </w:pPr>
      <w:r w:rsidRPr="00BF693F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BF693F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224BF9E7" w14:textId="77777777" w:rsidR="000176B5" w:rsidRPr="00BF693F" w:rsidRDefault="000176B5" w:rsidP="000176B5">
      <w:pPr>
        <w:rPr>
          <w:rFonts w:ascii="Times New Roman" w:hAnsi="Times New Roman"/>
          <w:color w:val="000000" w:themeColor="text1"/>
          <w:sz w:val="24"/>
        </w:rPr>
      </w:pPr>
      <w:r w:rsidRPr="00BF693F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BF693F">
        <w:rPr>
          <w:rFonts w:ascii="Times New Roman" w:hAnsi="Times New Roman"/>
          <w:color w:val="000000" w:themeColor="text1"/>
          <w:sz w:val="24"/>
        </w:rPr>
        <w:t xml:space="preserve"> HK$220,680 per year</w:t>
      </w:r>
    </w:p>
    <w:p w14:paraId="52349B29" w14:textId="22EE60EE" w:rsidR="000176B5" w:rsidRPr="00BF693F" w:rsidRDefault="000176B5" w:rsidP="000176B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BF693F">
        <w:rPr>
          <w:rFonts w:ascii="Times New Roman" w:hAnsi="Times New Roman"/>
          <w:b/>
          <w:bCs/>
          <w:color w:val="000000" w:themeColor="text1"/>
          <w:sz w:val="24"/>
        </w:rPr>
        <w:t>Scholarship Coverage</w:t>
      </w:r>
    </w:p>
    <w:p w14:paraId="473150E1" w14:textId="77777777" w:rsidR="000176B5" w:rsidRPr="00BF693F" w:rsidRDefault="000176B5" w:rsidP="004032F1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BF693F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49F8B189" w14:textId="77777777" w:rsidR="000176B5" w:rsidRPr="00BF693F" w:rsidRDefault="000176B5" w:rsidP="004032F1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BF693F">
        <w:rPr>
          <w:rFonts w:ascii="Times New Roman" w:hAnsi="Times New Roman"/>
          <w:color w:val="000000" w:themeColor="text1"/>
          <w:sz w:val="24"/>
        </w:rPr>
        <w:t>Living expenses</w:t>
      </w:r>
    </w:p>
    <w:p w14:paraId="64BFC0E4" w14:textId="77777777" w:rsidR="000176B5" w:rsidRPr="00BF693F" w:rsidRDefault="000176B5" w:rsidP="004032F1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BF693F">
        <w:rPr>
          <w:rFonts w:ascii="Times New Roman" w:hAnsi="Times New Roman"/>
          <w:color w:val="000000" w:themeColor="text1"/>
          <w:sz w:val="24"/>
        </w:rPr>
        <w:t>Other</w:t>
      </w:r>
    </w:p>
    <w:p w14:paraId="2B57C8CA" w14:textId="77777777" w:rsidR="000176B5" w:rsidRPr="00BF693F" w:rsidRDefault="000176B5" w:rsidP="000176B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BF693F">
        <w:rPr>
          <w:rFonts w:ascii="Times New Roman" w:hAnsi="Times New Roman"/>
          <w:b/>
          <w:bCs/>
          <w:color w:val="000000" w:themeColor="text1"/>
          <w:sz w:val="24"/>
        </w:rPr>
        <w:t>Description</w:t>
      </w:r>
    </w:p>
    <w:p w14:paraId="61BEBEAE" w14:textId="77777777" w:rsidR="000176B5" w:rsidRPr="00BF693F" w:rsidRDefault="000176B5" w:rsidP="000176B5">
      <w:pPr>
        <w:rPr>
          <w:rFonts w:ascii="Times New Roman" w:hAnsi="Times New Roman"/>
          <w:color w:val="000000" w:themeColor="text1"/>
          <w:sz w:val="24"/>
        </w:rPr>
      </w:pPr>
      <w:r w:rsidRPr="00BF693F">
        <w:rPr>
          <w:rFonts w:ascii="Times New Roman" w:hAnsi="Times New Roman"/>
          <w:color w:val="000000" w:themeColor="text1"/>
          <w:sz w:val="24"/>
        </w:rPr>
        <w:t>Full-time regular research postgraduate students are eligible for a postgraduate studentship during their normative study period.</w:t>
      </w:r>
    </w:p>
    <w:p w14:paraId="6DA5F61F" w14:textId="77777777" w:rsidR="000176B5" w:rsidRPr="00BF693F" w:rsidRDefault="000176B5" w:rsidP="000176B5">
      <w:pPr>
        <w:rPr>
          <w:rFonts w:ascii="Times New Roman" w:hAnsi="Times New Roman"/>
          <w:color w:val="000000" w:themeColor="text1"/>
          <w:sz w:val="24"/>
        </w:rPr>
      </w:pPr>
      <w:r w:rsidRPr="00BF693F">
        <w:rPr>
          <w:rFonts w:ascii="Times New Roman" w:hAnsi="Times New Roman"/>
          <w:color w:val="000000" w:themeColor="text1"/>
          <w:sz w:val="24"/>
        </w:rPr>
        <w:t>The normative study period for students admitted to the integrated MPhil and PhD program is a total of five years (2 years of MPhil study and 3 years of PhD study).</w:t>
      </w:r>
    </w:p>
    <w:p w14:paraId="12DFE618" w14:textId="77777777" w:rsidR="000176B5" w:rsidRPr="00BF693F" w:rsidRDefault="000176B5" w:rsidP="000176B5">
      <w:pPr>
        <w:rPr>
          <w:rFonts w:ascii="Times New Roman" w:hAnsi="Times New Roman"/>
          <w:color w:val="000000" w:themeColor="text1"/>
          <w:sz w:val="24"/>
        </w:rPr>
      </w:pPr>
      <w:r w:rsidRPr="00BF693F">
        <w:rPr>
          <w:rFonts w:ascii="Times New Roman" w:hAnsi="Times New Roman"/>
          <w:color w:val="000000" w:themeColor="text1"/>
          <w:sz w:val="24"/>
        </w:rPr>
        <w:t>The normative study period for PhD students with a Research Master’s degree in the relevant area from an outside institution is three years; and for PhD students without a Research Master’s degree in the relevant area from an outside institution, it is four years.</w:t>
      </w:r>
    </w:p>
    <w:p w14:paraId="328AF0AD" w14:textId="77777777" w:rsidR="000176B5" w:rsidRPr="00BF693F" w:rsidRDefault="000176B5" w:rsidP="000176B5">
      <w:pPr>
        <w:rPr>
          <w:rFonts w:ascii="Times New Roman" w:hAnsi="Times New Roman"/>
          <w:color w:val="000000" w:themeColor="text1"/>
          <w:sz w:val="24"/>
        </w:rPr>
      </w:pPr>
      <w:r w:rsidRPr="00BF693F">
        <w:rPr>
          <w:rFonts w:ascii="Times New Roman" w:hAnsi="Times New Roman"/>
          <w:color w:val="000000" w:themeColor="text1"/>
          <w:sz w:val="24"/>
        </w:rPr>
        <w:t>The School will also offer a top-up stipend to a highly select number of students who demonstrate outstanding performance.</w:t>
      </w:r>
    </w:p>
    <w:p w14:paraId="59FE8B68" w14:textId="10A047B9" w:rsidR="000176B5" w:rsidRPr="00BF693F" w:rsidRDefault="000176B5" w:rsidP="000176B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BF693F">
        <w:rPr>
          <w:rFonts w:ascii="Times New Roman" w:hAnsi="Times New Roman"/>
          <w:b/>
          <w:bCs/>
          <w:color w:val="000000" w:themeColor="text1"/>
          <w:sz w:val="24"/>
        </w:rPr>
        <w:t>Eligibility</w:t>
      </w:r>
    </w:p>
    <w:p w14:paraId="1536F238" w14:textId="77777777" w:rsidR="000176B5" w:rsidRPr="00BF693F" w:rsidRDefault="000176B5" w:rsidP="004032F1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BF693F">
        <w:rPr>
          <w:rFonts w:ascii="Times New Roman" w:hAnsi="Times New Roman"/>
          <w:color w:val="000000" w:themeColor="text1"/>
          <w:sz w:val="24"/>
        </w:rPr>
        <w:t>Full-time regular research postgraduate students are eligible for this scholarship.</w:t>
      </w:r>
    </w:p>
    <w:p w14:paraId="5CF62577" w14:textId="69FDD570" w:rsidR="000176B5" w:rsidRPr="00BF693F" w:rsidRDefault="000176B5" w:rsidP="000176B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BF693F">
        <w:rPr>
          <w:rFonts w:ascii="Times New Roman" w:hAnsi="Times New Roman"/>
          <w:b/>
          <w:bCs/>
          <w:color w:val="000000" w:themeColor="text1"/>
          <w:sz w:val="24"/>
        </w:rPr>
        <w:t>Scholarship Requirements</w:t>
      </w:r>
    </w:p>
    <w:p w14:paraId="6A082683" w14:textId="77777777" w:rsidR="000176B5" w:rsidRPr="00BF693F" w:rsidRDefault="000176B5" w:rsidP="000176B5">
      <w:pPr>
        <w:rPr>
          <w:rFonts w:ascii="Times New Roman" w:hAnsi="Times New Roman"/>
          <w:color w:val="000000" w:themeColor="text1"/>
          <w:sz w:val="24"/>
        </w:rPr>
      </w:pPr>
      <w:r w:rsidRPr="00BF693F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BF693F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55BA5916" w14:textId="77777777" w:rsidR="000176B5" w:rsidRPr="00BF693F" w:rsidRDefault="000176B5" w:rsidP="000176B5">
      <w:pPr>
        <w:rPr>
          <w:rFonts w:ascii="Times New Roman" w:hAnsi="Times New Roman"/>
          <w:color w:val="000000" w:themeColor="text1"/>
          <w:sz w:val="24"/>
        </w:rPr>
      </w:pPr>
      <w:r w:rsidRPr="00BF693F">
        <w:rPr>
          <w:rFonts w:ascii="Times New Roman" w:hAnsi="Times New Roman"/>
          <w:b/>
          <w:bCs/>
          <w:color w:val="000000" w:themeColor="text1"/>
          <w:sz w:val="24"/>
        </w:rPr>
        <w:t>Locations:</w:t>
      </w:r>
      <w:r w:rsidRPr="00BF693F">
        <w:rPr>
          <w:rFonts w:ascii="Times New Roman" w:hAnsi="Times New Roman"/>
          <w:color w:val="000000" w:themeColor="text1"/>
          <w:sz w:val="24"/>
        </w:rPr>
        <w:t xml:space="preserve"> Hong Kong (SAR)</w:t>
      </w:r>
    </w:p>
    <w:p w14:paraId="68F8979A" w14:textId="77777777" w:rsidR="000176B5" w:rsidRPr="00BF693F" w:rsidRDefault="000176B5" w:rsidP="000176B5">
      <w:pPr>
        <w:rPr>
          <w:rFonts w:ascii="Times New Roman" w:hAnsi="Times New Roman"/>
          <w:color w:val="000000" w:themeColor="text1"/>
          <w:sz w:val="24"/>
        </w:rPr>
      </w:pPr>
      <w:r w:rsidRPr="00BF693F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BF693F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23DCDD64" w14:textId="77777777" w:rsidR="000176B5" w:rsidRPr="00BF693F" w:rsidRDefault="000176B5" w:rsidP="000176B5">
      <w:pPr>
        <w:rPr>
          <w:rFonts w:ascii="Times New Roman" w:hAnsi="Times New Roman"/>
          <w:color w:val="000000" w:themeColor="text1"/>
          <w:sz w:val="24"/>
        </w:rPr>
      </w:pPr>
      <w:r w:rsidRPr="00BF693F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BF693F">
        <w:rPr>
          <w:rFonts w:ascii="Times New Roman" w:hAnsi="Times New Roman"/>
          <w:color w:val="000000" w:themeColor="text1"/>
          <w:sz w:val="24"/>
        </w:rPr>
        <w:t xml:space="preserve"> Bachelor</w:t>
      </w:r>
    </w:p>
    <w:p w14:paraId="6B261520" w14:textId="77777777" w:rsidR="000176B5" w:rsidRPr="00BF693F" w:rsidRDefault="000176B5" w:rsidP="000176B5">
      <w:pPr>
        <w:rPr>
          <w:rFonts w:ascii="Times New Roman" w:hAnsi="Times New Roman"/>
          <w:color w:val="000000" w:themeColor="text1"/>
          <w:sz w:val="24"/>
        </w:rPr>
      </w:pPr>
      <w:r w:rsidRPr="00BF693F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BF693F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7AFF5749" w14:textId="2CE35F11" w:rsidR="000176B5" w:rsidRPr="00BF693F" w:rsidRDefault="000176B5" w:rsidP="000176B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BF693F">
        <w:rPr>
          <w:rFonts w:ascii="Times New Roman" w:hAnsi="Times New Roman"/>
          <w:b/>
          <w:bCs/>
          <w:color w:val="000000" w:themeColor="text1"/>
          <w:sz w:val="24"/>
        </w:rPr>
        <w:t>Application</w:t>
      </w:r>
    </w:p>
    <w:p w14:paraId="30C47445" w14:textId="77777777" w:rsidR="000176B5" w:rsidRPr="00BF693F" w:rsidRDefault="000176B5" w:rsidP="000176B5">
      <w:pPr>
        <w:rPr>
          <w:rFonts w:ascii="Times New Roman" w:hAnsi="Times New Roman"/>
          <w:color w:val="000000" w:themeColor="text1"/>
          <w:sz w:val="24"/>
        </w:rPr>
      </w:pPr>
      <w:r w:rsidRPr="00BF693F">
        <w:rPr>
          <w:rFonts w:ascii="Times New Roman" w:hAnsi="Times New Roman"/>
          <w:b/>
          <w:bCs/>
          <w:color w:val="000000" w:themeColor="text1"/>
          <w:sz w:val="24"/>
        </w:rPr>
        <w:lastRenderedPageBreak/>
        <w:t>Application Deadline:</w:t>
      </w:r>
      <w:r w:rsidRPr="00BF693F">
        <w:rPr>
          <w:rFonts w:ascii="Times New Roman" w:hAnsi="Times New Roman"/>
          <w:color w:val="000000" w:themeColor="text1"/>
          <w:sz w:val="24"/>
        </w:rPr>
        <w:t xml:space="preserve"> Anytime</w:t>
      </w:r>
    </w:p>
    <w:p w14:paraId="7BAD5281" w14:textId="77777777" w:rsidR="000176B5" w:rsidRPr="00BF693F" w:rsidRDefault="000176B5" w:rsidP="000176B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BF693F">
        <w:rPr>
          <w:rFonts w:ascii="Times New Roman" w:hAnsi="Times New Roman"/>
          <w:b/>
          <w:bCs/>
          <w:color w:val="000000" w:themeColor="text1"/>
          <w:sz w:val="24"/>
        </w:rPr>
        <w:t>Benefits</w:t>
      </w:r>
    </w:p>
    <w:p w14:paraId="587A194D" w14:textId="75478DA0" w:rsidR="00E63B5D" w:rsidRPr="00BF693F" w:rsidRDefault="000176B5">
      <w:pPr>
        <w:rPr>
          <w:rFonts w:ascii="Times New Roman" w:hAnsi="Times New Roman"/>
          <w:color w:val="000000" w:themeColor="text1"/>
          <w:sz w:val="24"/>
        </w:rPr>
      </w:pPr>
      <w:r w:rsidRPr="00BF693F">
        <w:rPr>
          <w:rFonts w:ascii="Times New Roman" w:hAnsi="Times New Roman"/>
          <w:color w:val="000000" w:themeColor="text1"/>
          <w:sz w:val="24"/>
        </w:rPr>
        <w:t>The studentship is intended to help cover daily subsistence, tuition fees, and other expenses that students may incur during the course of their study. The scholarship is worth HK$220,680 per year up to 2 years for full-time MPhil students or up to 4 years for full-time PhD students</w:t>
      </w:r>
    </w:p>
    <w:sectPr w:rsidR="00E63B5D" w:rsidRPr="00BF6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6088"/>
    <w:multiLevelType w:val="hybridMultilevel"/>
    <w:tmpl w:val="0E122B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21DBF"/>
    <w:multiLevelType w:val="hybridMultilevel"/>
    <w:tmpl w:val="B5EA53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285668">
    <w:abstractNumId w:val="1"/>
  </w:num>
  <w:num w:numId="2" w16cid:durableId="28836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E8"/>
    <w:rsid w:val="000176B5"/>
    <w:rsid w:val="002857E8"/>
    <w:rsid w:val="004032F1"/>
    <w:rsid w:val="00A1030A"/>
    <w:rsid w:val="00BF693F"/>
    <w:rsid w:val="00E63B5D"/>
    <w:rsid w:val="00F0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3BF2"/>
  <w15:chartTrackingRefBased/>
  <w15:docId w15:val="{83A41B69-89F0-4B7B-A8C2-C24929CD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6</cp:revision>
  <dcterms:created xsi:type="dcterms:W3CDTF">2024-03-15T08:35:00Z</dcterms:created>
  <dcterms:modified xsi:type="dcterms:W3CDTF">2024-04-01T09:15:00Z</dcterms:modified>
</cp:coreProperties>
</file>