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DACA" w14:textId="2D15A777" w:rsidR="00896248" w:rsidRPr="00A91791" w:rsidRDefault="00896248" w:rsidP="0089624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91791">
        <w:rPr>
          <w:rFonts w:ascii="Times New Roman" w:hAnsi="Times New Roman"/>
          <w:b/>
          <w:bCs/>
          <w:color w:val="000000" w:themeColor="text1"/>
          <w:sz w:val="24"/>
        </w:rPr>
        <w:t>The Tobacco Harm Reduction Scholarship Programme</w:t>
      </w:r>
    </w:p>
    <w:p w14:paraId="28F9998F" w14:textId="24C3D251" w:rsidR="009F3FBA" w:rsidRPr="00A91791" w:rsidRDefault="009F3FBA" w:rsidP="00896248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A91791">
        <w:rPr>
          <w:rFonts w:ascii="Times New Roman" w:hAnsi="Times New Roman"/>
          <w:color w:val="000000" w:themeColor="text1"/>
          <w:sz w:val="24"/>
          <w:u w:val="single"/>
        </w:rPr>
        <w:t>https://thrsp.net/</w:t>
      </w:r>
    </w:p>
    <w:p w14:paraId="372D32F4" w14:textId="77777777" w:rsidR="00896248" w:rsidRPr="00A91791" w:rsidRDefault="00896248" w:rsidP="0089624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91791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4CC84BCD" w14:textId="32C64BFC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Launched in 2018, the programme has had an unprecedented global impact with scholars on six continents completing a wide range of successful projects.</w:t>
      </w:r>
    </w:p>
    <w:p w14:paraId="0DCDAC2A" w14:textId="7C5DCE85" w:rsidR="00896248" w:rsidRPr="00A91791" w:rsidRDefault="00896248" w:rsidP="0089624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91791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26526C93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A91791">
        <w:rPr>
          <w:rFonts w:ascii="Times New Roman" w:hAnsi="Times New Roman"/>
          <w:color w:val="000000" w:themeColor="text1"/>
          <w:sz w:val="24"/>
        </w:rPr>
        <w:t xml:space="preserve"> Merit and need-based</w:t>
      </w:r>
    </w:p>
    <w:p w14:paraId="431C0869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A91791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257B8926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A91791">
        <w:rPr>
          <w:rFonts w:ascii="Times New Roman" w:hAnsi="Times New Roman"/>
          <w:color w:val="000000" w:themeColor="text1"/>
          <w:sz w:val="24"/>
        </w:rPr>
        <w:t xml:space="preserve"> $12,000 + other benefits</w:t>
      </w:r>
    </w:p>
    <w:p w14:paraId="09CD2572" w14:textId="35C8CB90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Scholarship Coverage</w:t>
      </w:r>
    </w:p>
    <w:p w14:paraId="1E223FBD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Other</w:t>
      </w:r>
    </w:p>
    <w:p w14:paraId="22F3E76A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Description</w:t>
      </w:r>
    </w:p>
    <w:p w14:paraId="123EECDF" w14:textId="733627E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Building on the successes of previous scholarship programmes, Knowledge, Action, Change (K•A•C) is pleased to announce the launch of the 7th K•A•C Global Tobacco Harm Reduction Scholarship Programme.</w:t>
      </w:r>
    </w:p>
    <w:p w14:paraId="1311ECA0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Eligibility</w:t>
      </w:r>
    </w:p>
    <w:p w14:paraId="336CF3DB" w14:textId="0C1A0BB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They welcome applications from any potential scholars with an interest in THR. This includes:</w:t>
      </w:r>
    </w:p>
    <w:p w14:paraId="75D3F58B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People intending to enter into the field of research into THR and/or public health</w:t>
      </w:r>
    </w:p>
    <w:p w14:paraId="5F7FBF4B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Harm reduction professionals</w:t>
      </w:r>
    </w:p>
    <w:p w14:paraId="42DA8C5E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Postgraduate students</w:t>
      </w:r>
    </w:p>
    <w:p w14:paraId="5547D01C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Researchers and scientists</w:t>
      </w:r>
    </w:p>
    <w:p w14:paraId="3F079378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Medical professionals</w:t>
      </w:r>
    </w:p>
    <w:p w14:paraId="20B13F82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Consumers</w:t>
      </w:r>
    </w:p>
    <w:p w14:paraId="4ADE1AB2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Writers</w:t>
      </w:r>
    </w:p>
    <w:p w14:paraId="45B2E88B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Internet and social media professionals</w:t>
      </w:r>
    </w:p>
    <w:p w14:paraId="7B8FFA14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Filmmakers and other audio-visual professionals</w:t>
      </w:r>
    </w:p>
    <w:p w14:paraId="24A522EF" w14:textId="5E40227A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Scholarship Requirements</w:t>
      </w:r>
    </w:p>
    <w:p w14:paraId="6E39E56A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Disciplines: Any</w:t>
      </w:r>
    </w:p>
    <w:p w14:paraId="3E23155C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Locations: Worldwide</w:t>
      </w:r>
    </w:p>
    <w:p w14:paraId="62F73C04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Nationality: Any</w:t>
      </w:r>
    </w:p>
    <w:p w14:paraId="41C65E3D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Study Experience Required: High school</w:t>
      </w:r>
    </w:p>
    <w:p w14:paraId="721A1C81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lastRenderedPageBreak/>
        <w:t>Age: Not specified</w:t>
      </w:r>
    </w:p>
    <w:p w14:paraId="6EC4729A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Application</w:t>
      </w:r>
    </w:p>
    <w:p w14:paraId="016D73F6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</w:p>
    <w:p w14:paraId="5F065B23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Application Deadline: 30 Nov 2024</w:t>
      </w:r>
    </w:p>
    <w:p w14:paraId="11E34574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Note:</w:t>
      </w:r>
    </w:p>
    <w:p w14:paraId="56EC3C1F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Next application window opens on 25 September and closes on 30 November.</w:t>
      </w:r>
    </w:p>
    <w:p w14:paraId="3FCB47F4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Read submission instructions.</w:t>
      </w:r>
    </w:p>
    <w:p w14:paraId="74943B8C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Register a user account and log in.</w:t>
      </w:r>
    </w:p>
    <w:p w14:paraId="75BD56E1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Once you are logged in, complete your profile (nationality, contact details, etc).</w:t>
      </w:r>
    </w:p>
    <w:p w14:paraId="7BBADAAA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Complete the THR-101 mini-course &amp; quiz (at least 70% required).</w:t>
      </w:r>
    </w:p>
    <w:p w14:paraId="4A639F5F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Submit your proposal.</w:t>
      </w:r>
    </w:p>
    <w:p w14:paraId="6AE5E3D7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Benefits</w:t>
      </w:r>
    </w:p>
    <w:p w14:paraId="10629144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Scholars can expect considerable input. This includes:</w:t>
      </w:r>
    </w:p>
    <w:p w14:paraId="306B8F62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</w:p>
    <w:p w14:paraId="2968667D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Assistance in honing your proposal post-submission</w:t>
      </w:r>
    </w:p>
    <w:p w14:paraId="2530929E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A stipend of $12,000 to undertake the project</w:t>
      </w:r>
    </w:p>
    <w:p w14:paraId="53757CA2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Travel to and from Warsaw to attend the Global Forum on Nicotine (GFN) (read program highlights)</w:t>
      </w:r>
    </w:p>
    <w:p w14:paraId="5D3B2665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An online course in the theory and practice of THR</w:t>
      </w:r>
    </w:p>
    <w:p w14:paraId="413CDED6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Accommodation for the whole period of GFN, including additional days for scholars</w:t>
      </w:r>
    </w:p>
    <w:p w14:paraId="573D9208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Per diems for the duration of GFN</w:t>
      </w:r>
    </w:p>
    <w:p w14:paraId="70181206" w14:textId="5E2111E3" w:rsidR="00896248" w:rsidRPr="00A91791" w:rsidRDefault="00C83FC0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Enrolment</w:t>
      </w:r>
      <w:r w:rsidR="00896248" w:rsidRPr="00A91791">
        <w:rPr>
          <w:rFonts w:ascii="Times New Roman" w:hAnsi="Times New Roman"/>
          <w:color w:val="000000" w:themeColor="text1"/>
          <w:sz w:val="24"/>
        </w:rPr>
        <w:t xml:space="preserve"> onto the mentoring scheme, with a named expert mentor (read program highlights)</w:t>
      </w:r>
    </w:p>
    <w:p w14:paraId="66785734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Ongoing support from the scholarship program manager</w:t>
      </w:r>
    </w:p>
    <w:p w14:paraId="31B65CCE" w14:textId="77777777" w:rsidR="00896248" w:rsidRPr="00A91791" w:rsidRDefault="00896248" w:rsidP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Assistance with problem-solving – both practical and academic</w:t>
      </w:r>
    </w:p>
    <w:p w14:paraId="01A193A5" w14:textId="1B9E9061" w:rsidR="008C7F80" w:rsidRPr="00A91791" w:rsidRDefault="00896248">
      <w:pPr>
        <w:rPr>
          <w:rFonts w:ascii="Times New Roman" w:hAnsi="Times New Roman"/>
          <w:color w:val="000000" w:themeColor="text1"/>
          <w:sz w:val="24"/>
        </w:rPr>
      </w:pPr>
      <w:r w:rsidRPr="00A91791">
        <w:rPr>
          <w:rFonts w:ascii="Times New Roman" w:hAnsi="Times New Roman"/>
          <w:color w:val="000000" w:themeColor="text1"/>
          <w:sz w:val="24"/>
        </w:rPr>
        <w:t>The opportunity to return to Warsaw in 2025 to share your findings, either as a poster display, as a speaker, or as an enhanced scholar</w:t>
      </w:r>
    </w:p>
    <w:sectPr w:rsidR="008C7F80" w:rsidRPr="00A9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01"/>
    <w:rsid w:val="00896248"/>
    <w:rsid w:val="008C7F80"/>
    <w:rsid w:val="009F3FBA"/>
    <w:rsid w:val="00A91791"/>
    <w:rsid w:val="00A94301"/>
    <w:rsid w:val="00C8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8B04"/>
  <w15:chartTrackingRefBased/>
  <w15:docId w15:val="{69262A68-9B33-4395-AD98-495C6F28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412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36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148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28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110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07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25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42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564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607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258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5</cp:revision>
  <dcterms:created xsi:type="dcterms:W3CDTF">2024-03-01T10:16:00Z</dcterms:created>
  <dcterms:modified xsi:type="dcterms:W3CDTF">2024-03-30T09:01:00Z</dcterms:modified>
</cp:coreProperties>
</file>