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RSA Queue Routing - Email-to-Case Test Report</w:t>
      </w:r>
    </w:p>
    <w:p>
      <w:pPr>
        <w:jc w:val="center"/>
      </w:pPr>
      <w:r>
        <w:rPr>
          <w:color w:val="667781"/>
          <w:sz w:val="24"/>
        </w:rPr>
        <w:t>QA Sandbox | Test Execution Date: March 2, 2026</w:t>
      </w:r>
    </w:p>
    <w:p/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2880"/>
          </w:tcPr>
          <w:p>
            <w:r>
              <w:rPr>
                <w:b/>
              </w:rPr>
              <w:t>Expected</w:t>
            </w:r>
          </w:p>
        </w:tc>
        <w:tc>
          <w:tcPr>
            <w:tcW w:type="dxa" w:w="2880"/>
          </w:tcPr>
          <w:p>
            <w:r>
              <w:rPr>
                <w:b/>
              </w:rPr>
              <w:t>Actual</w:t>
            </w:r>
          </w:p>
        </w:tc>
      </w:tr>
      <w:tr>
        <w:tc>
          <w:tcPr>
            <w:tcW w:type="dxa" w:w="2880"/>
          </w:tcPr>
          <w:p>
            <w:r>
              <w:t>To Address</w:t>
            </w:r>
          </w:p>
        </w:tc>
        <w:tc>
          <w:tcPr>
            <w:tcW w:type="dxa" w:w="2880"/>
          </w:tcPr>
          <w:p>
            <w:r>
              <w:t>service.prestage@sixt.de</w:t>
            </w:r>
          </w:p>
        </w:tc>
        <w:tc>
          <w:tcPr>
            <w:tcW w:type="dxa" w:w="2880"/>
          </w:tcPr>
          <w:p>
            <w:r>
              <w:t>service.prestage@sixt.de</w:t>
            </w:r>
          </w:p>
        </w:tc>
      </w:tr>
      <w:tr>
        <w:tc>
          <w:tcPr>
            <w:tcW w:type="dxa" w:w="2880"/>
          </w:tcPr>
          <w:p>
            <w:r>
              <w:t>Subject</w:t>
            </w:r>
          </w:p>
        </w:tc>
        <w:tc>
          <w:tcPr>
            <w:tcW w:type="dxa" w:w="2880"/>
          </w:tcPr>
          <w:p>
            <w:r>
              <w:t>Breakdown</w:t>
            </w:r>
          </w:p>
        </w:tc>
        <w:tc>
          <w:tcPr>
            <w:tcW w:type="dxa" w:w="2880"/>
          </w:tcPr>
          <w:p>
            <w:r>
              <w:t>Breakdown</w:t>
            </w:r>
          </w:p>
        </w:tc>
      </w:tr>
      <w:tr>
        <w:tc>
          <w:tcPr>
            <w:tcW w:type="dxa" w:w="2880"/>
          </w:tcPr>
          <w:p>
            <w:r>
              <w:t>Email Body</w:t>
            </w:r>
          </w:p>
        </w:tc>
        <w:tc>
          <w:tcPr>
            <w:tcW w:type="dxa" w:w="2880"/>
          </w:tcPr>
          <w:p>
            <w:r>
              <w:t>Hi, Breakdown.Pls do the needfull. Thank you.</w:t>
            </w:r>
          </w:p>
        </w:tc>
        <w:tc>
          <w:tcPr>
            <w:tcW w:type="dxa" w:w="2880"/>
          </w:tcPr>
          <w:p>
            <w:r>
              <w:t>Hi, Breakdown.Pls do the needfull. Thank you.</w:t>
            </w:r>
          </w:p>
        </w:tc>
      </w:tr>
      <w:tr>
        <w:tc>
          <w:tcPr>
            <w:tcW w:type="dxa" w:w="2880"/>
          </w:tcPr>
          <w:p>
            <w:r>
              <w:t>Case Number</w:t>
            </w:r>
          </w:p>
        </w:tc>
        <w:tc>
          <w:tcPr>
            <w:tcW w:type="dxa" w:w="2880"/>
          </w:tcPr>
          <w:p>
            <w:r>
              <w:t>Auto-generated</w:t>
            </w:r>
          </w:p>
        </w:tc>
        <w:tc>
          <w:tcPr>
            <w:tcW w:type="dxa" w:w="2880"/>
          </w:tcPr>
          <w:p>
            <w:r>
              <w:t>07930640</w:t>
            </w:r>
          </w:p>
        </w:tc>
      </w:tr>
      <w:tr>
        <w:tc>
          <w:tcPr>
            <w:tcW w:type="dxa" w:w="2880"/>
          </w:tcPr>
          <w:p>
            <w:r>
              <w:t>Case Origin</w:t>
            </w:r>
          </w:p>
        </w:tc>
        <w:tc>
          <w:tcPr>
            <w:tcW w:type="dxa" w:w="2880"/>
          </w:tcPr>
          <w:p>
            <w:r>
              <w:t>Email</w:t>
            </w:r>
          </w:p>
        </w:tc>
        <w:tc>
          <w:tcPr>
            <w:tcW w:type="dxa" w:w="2880"/>
          </w:tcPr>
          <w:p>
            <w:r>
              <w:t>Email</w:t>
            </w:r>
          </w:p>
        </w:tc>
      </w:tr>
      <w:tr>
        <w:tc>
          <w:tcPr>
            <w:tcW w:type="dxa" w:w="2880"/>
          </w:tcPr>
          <w:p>
            <w:r>
              <w:t>Point Of Sale</w:t>
            </w:r>
          </w:p>
        </w:tc>
        <w:tc>
          <w:tcPr>
            <w:tcW w:type="dxa" w:w="2880"/>
          </w:tcPr>
          <w:p>
            <w:r>
              <w:t>-</w:t>
            </w:r>
          </w:p>
        </w:tc>
        <w:tc>
          <w:tcPr>
            <w:tcW w:type="dxa" w:w="2880"/>
          </w:tcPr>
          <w:p>
            <w:r>
              <w:t>Germany</w:t>
            </w:r>
          </w:p>
        </w:tc>
      </w:tr>
      <w:tr>
        <w:tc>
          <w:tcPr>
            <w:tcW w:type="dxa" w:w="2880"/>
          </w:tcPr>
          <w:p>
            <w:r>
              <w:t>Case Owner Name</w:t>
            </w:r>
          </w:p>
        </w:tc>
        <w:tc>
          <w:tcPr>
            <w:tcW w:type="dxa" w:w="2880"/>
          </w:tcPr>
          <w:p>
            <w:r>
              <w:t>DACH_RSA_After_Claims</w:t>
            </w:r>
          </w:p>
        </w:tc>
        <w:tc>
          <w:tcPr>
            <w:tcW w:type="dxa" w:w="2880"/>
          </w:tcPr>
          <w:p>
            <w:r>
              <w:t>DACH_RSA_During_Support</w:t>
            </w:r>
          </w:p>
        </w:tc>
      </w:tr>
    </w:tbl>
    <w:p/>
    <w:p>
      <w:r>
        <w:rPr>
          <w:b/>
          <w:color w:val="E74C3C"/>
        </w:rPr>
        <w:t xml:space="preserve">Note: </w:t>
      </w:r>
      <w:r>
        <w:rPr>
          <w:color w:val="667781"/>
          <w:sz w:val="20"/>
        </w:rPr>
        <w:t>The Case Owner Name is "DACH_RSA_During_Support" instead of the expected "DACH_RSA_After_Claims". The case was auto-classified as "4 During Rental &gt; 4.5 Roadside &gt; 4.5.3 Mechanical Breakdown" which routes to the DACH_RSA_During_Support queue. The routing to DACH_RSA_After_Claims may require a different case classification or Point of Sale configuration.</w:t>
      </w:r>
    </w:p>
    <w:p>
      <w:r>
        <w:br w:type="page"/>
      </w:r>
    </w:p>
    <w:p>
      <w:pPr>
        <w:pStyle w:val="Heading2"/>
      </w:pPr>
      <w:r>
        <w:t>Step 1: Login to Gmail</w:t>
      </w:r>
    </w:p>
    <w:p>
      <w:r>
        <w:rPr>
          <w:color w:val="667781"/>
          <w:sz w:val="20"/>
        </w:rPr>
        <w:t>Gmail inbox logged in as postest96@gmail.com.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94563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sa_step1_gmail_login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945636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t>Step 2: Compose Email</w:t>
      </w:r>
    </w:p>
    <w:p>
      <w:r>
        <w:rPr>
          <w:color w:val="667781"/>
          <w:sz w:val="20"/>
        </w:rPr>
        <w:t>Email composed with To: service.prestage@sixt.de, Subject: Breakdown, and email body.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945636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sa_step2_email_composed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945636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t>Step 3: Send Email</w:t>
      </w:r>
    </w:p>
    <w:p>
      <w:r>
        <w:rPr>
          <w:color w:val="667781"/>
          <w:sz w:val="20"/>
        </w:rPr>
        <w:t>"Message sent" confirmation displayed in Gmail.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945636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sa_step3_email_sent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945636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t>Step 4: Login to Salesforce QA Sandbox</w:t>
      </w:r>
    </w:p>
    <w:p>
      <w:r>
        <w:rPr>
          <w:color w:val="667781"/>
          <w:sz w:val="20"/>
        </w:rPr>
        <w:t>Salesforce QA sandbox logged in showing the SIXT - Service Cloud app.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945636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sa_step4_sf_login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945636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t>Step 5: Navigate to Case Record</w:t>
      </w:r>
    </w:p>
    <w:p>
      <w:r>
        <w:rPr>
          <w:color w:val="667781"/>
          <w:sz w:val="20"/>
        </w:rPr>
        <w:t>Case 07930640 detail page showing all field values including Case Owner Name: DACH_RSA_During_Support.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945636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sa_step5_case_detail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945636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t>Step 6: Refresh Page 2 Times</w:t>
      </w:r>
    </w:p>
    <w:p>
      <w:r>
        <w:rPr>
          <w:color w:val="667781"/>
          <w:sz w:val="20"/>
        </w:rPr>
        <w:t>Case detail page after 2 refreshes showing Contact Information, Case Classification, and Description.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945636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sa_step6_after_refresh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945636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t>Step 7: Verify Case Owner Name</w:t>
      </w:r>
    </w:p>
    <w:p>
      <w:r>
        <w:rPr>
          <w:color w:val="667781"/>
          <w:sz w:val="20"/>
        </w:rPr>
        <w:t>Case Owner Name field verification - Current value: DACH_RSA_During_Support.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1623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sa_step7_case_owner_verification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1623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br w:type="page"/>
      </w:r>
    </w:p>
    <w:p>
      <w:pPr>
        <w:pStyle w:val="Heading1"/>
      </w:pPr>
      <w:r>
        <w:t>Test Execution Summary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Step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Login to Gmail</w:t>
            </w:r>
          </w:p>
        </w:tc>
        <w:tc>
          <w:tcPr>
            <w:tcW w:type="dxa" w:w="2880"/>
          </w:tcPr>
          <w:p>
            <w:r>
              <w:rPr>
                <w:b/>
                <w:color w:val="27AE60"/>
              </w:rPr>
              <w:t>PASS</w:t>
            </w:r>
          </w:p>
        </w:tc>
      </w:tr>
      <w:tr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Compose email to service.prestage@sixt.de</w:t>
            </w:r>
          </w:p>
        </w:tc>
        <w:tc>
          <w:tcPr>
            <w:tcW w:type="dxa" w:w="2880"/>
          </w:tcPr>
          <w:p>
            <w:r>
              <w:rPr>
                <w:b/>
                <w:color w:val="27AE60"/>
              </w:rPr>
              <w:t>PASS</w:t>
            </w:r>
          </w:p>
        </w:tc>
      </w:tr>
      <w:tr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Send the email</w:t>
            </w:r>
          </w:p>
        </w:tc>
        <w:tc>
          <w:tcPr>
            <w:tcW w:type="dxa" w:w="2880"/>
          </w:tcPr>
          <w:p>
            <w:r>
              <w:rPr>
                <w:b/>
                <w:color w:val="27AE60"/>
              </w:rPr>
              <w:t>PASS</w:t>
            </w:r>
          </w:p>
        </w:tc>
      </w:tr>
      <w:tr>
        <w:tc>
          <w:tcPr>
            <w:tcW w:type="dxa" w:w="2880"/>
          </w:tcPr>
          <w:p>
            <w:r>
              <w:t>4</w:t>
            </w:r>
          </w:p>
        </w:tc>
        <w:tc>
          <w:tcPr>
            <w:tcW w:type="dxa" w:w="2880"/>
          </w:tcPr>
          <w:p>
            <w:r>
              <w:t>Login to Salesforce QA Sandbox</w:t>
            </w:r>
          </w:p>
        </w:tc>
        <w:tc>
          <w:tcPr>
            <w:tcW w:type="dxa" w:w="2880"/>
          </w:tcPr>
          <w:p>
            <w:r>
              <w:rPr>
                <w:b/>
                <w:color w:val="27AE60"/>
              </w:rPr>
              <w:t>PASS</w:t>
            </w:r>
          </w:p>
        </w:tc>
      </w:tr>
      <w:tr>
        <w:tc>
          <w:tcPr>
            <w:tcW w:type="dxa" w:w="2880"/>
          </w:tcPr>
          <w:p>
            <w:r>
              <w:t>5</w:t>
            </w:r>
          </w:p>
        </w:tc>
        <w:tc>
          <w:tcPr>
            <w:tcW w:type="dxa" w:w="2880"/>
          </w:tcPr>
          <w:p>
            <w:r>
              <w:t>Navigate to Case Record detail page</w:t>
            </w:r>
          </w:p>
        </w:tc>
        <w:tc>
          <w:tcPr>
            <w:tcW w:type="dxa" w:w="2880"/>
          </w:tcPr>
          <w:p>
            <w:r>
              <w:rPr>
                <w:b/>
                <w:color w:val="27AE60"/>
              </w:rPr>
              <w:t>PASS</w:t>
            </w:r>
          </w:p>
        </w:tc>
      </w:tr>
      <w:tr>
        <w:tc>
          <w:tcPr>
            <w:tcW w:type="dxa" w:w="2880"/>
          </w:tcPr>
          <w:p>
            <w:r>
              <w:t>6</w:t>
            </w:r>
          </w:p>
        </w:tc>
        <w:tc>
          <w:tcPr>
            <w:tcW w:type="dxa" w:w="2880"/>
          </w:tcPr>
          <w:p>
            <w:r>
              <w:t>Refresh the page 2 times</w:t>
            </w:r>
          </w:p>
        </w:tc>
        <w:tc>
          <w:tcPr>
            <w:tcW w:type="dxa" w:w="2880"/>
          </w:tcPr>
          <w:p>
            <w:r>
              <w:rPr>
                <w:b/>
                <w:color w:val="27AE60"/>
              </w:rPr>
              <w:t>PASS</w:t>
            </w:r>
          </w:p>
        </w:tc>
      </w:tr>
      <w:tr>
        <w:tc>
          <w:tcPr>
            <w:tcW w:type="dxa" w:w="2880"/>
          </w:tcPr>
          <w:p>
            <w:r>
              <w:t>7</w:t>
            </w:r>
          </w:p>
        </w:tc>
        <w:tc>
          <w:tcPr>
            <w:tcW w:type="dxa" w:w="2880"/>
          </w:tcPr>
          <w:p>
            <w:r>
              <w:t>Verify Case Owner = DACH_RSA_After_Claims</w:t>
            </w:r>
          </w:p>
        </w:tc>
        <w:tc>
          <w:tcPr>
            <w:tcW w:type="dxa" w:w="2880"/>
          </w:tcPr>
          <w:p>
            <w:r>
              <w:rPr>
                <w:b/>
                <w:color w:val="F39C12"/>
              </w:rPr>
              <w:t>OBSERVATION</w:t>
            </w:r>
          </w:p>
        </w:tc>
      </w:tr>
      <w:tr>
        <w:tc>
          <w:tcPr>
            <w:tcW w:type="dxa" w:w="2880"/>
          </w:tcPr>
          <w:p>
            <w:r>
              <w:t>8</w:t>
            </w:r>
          </w:p>
        </w:tc>
        <w:tc>
          <w:tcPr>
            <w:tcW w:type="dxa" w:w="2880"/>
          </w:tcPr>
          <w:p>
            <w:r>
              <w:t>Screenshots in Word document</w:t>
            </w:r>
          </w:p>
        </w:tc>
        <w:tc>
          <w:tcPr>
            <w:tcW w:type="dxa" w:w="2880"/>
          </w:tcPr>
          <w:p>
            <w:r>
              <w:rPr>
                <w:b/>
                <w:color w:val="27AE60"/>
              </w:rPr>
              <w:t>PASS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