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SCI-3857 (Scenario 5) Test Execution Report</w:t>
      </w:r>
    </w:p>
    <w:p>
      <w:pPr>
        <w:pStyle w:val="Heading1"/>
        <w:jc w:val="center"/>
      </w:pPr>
      <w:r>
        <w:t>BNL_RSA_During_Support - Email-to-Case Routing &amp; Priority Verification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Case Number</w:t>
            </w:r>
          </w:p>
        </w:tc>
        <w:tc>
          <w:tcPr>
            <w:tcW w:type="dxa" w:w="4320"/>
          </w:tcPr>
          <w:p>
            <w:r>
              <w:t>15557612</w:t>
            </w:r>
          </w:p>
        </w:tc>
      </w:tr>
      <w:tr>
        <w:tc>
          <w:tcPr>
            <w:tcW w:type="dxa" w:w="4320"/>
          </w:tcPr>
          <w:p>
            <w:r>
              <w:t>Subject</w:t>
            </w:r>
          </w:p>
        </w:tc>
        <w:tc>
          <w:tcPr>
            <w:tcW w:type="dxa" w:w="4320"/>
          </w:tcPr>
          <w:p>
            <w:r>
              <w:t>Met with an accident</w:t>
            </w:r>
          </w:p>
        </w:tc>
      </w:tr>
      <w:tr>
        <w:tc>
          <w:tcPr>
            <w:tcW w:type="dxa" w:w="4320"/>
          </w:tcPr>
          <w:p>
            <w:r>
              <w:t>Email To</w:t>
            </w:r>
          </w:p>
        </w:tc>
        <w:tc>
          <w:tcPr>
            <w:tcW w:type="dxa" w:w="4320"/>
          </w:tcPr>
          <w:p>
            <w:r>
              <w:t>service.qafull@sixt.nl</w:t>
            </w:r>
          </w:p>
        </w:tc>
      </w:tr>
      <w:tr>
        <w:tc>
          <w:tcPr>
            <w:tcW w:type="dxa" w:w="4320"/>
          </w:tcPr>
          <w:p>
            <w:r>
              <w:t>Expected Owner</w:t>
            </w:r>
          </w:p>
        </w:tc>
        <w:tc>
          <w:tcPr>
            <w:tcW w:type="dxa" w:w="4320"/>
          </w:tcPr>
          <w:p>
            <w:r>
              <w:t>BNL_RSA_During_Support</w:t>
            </w:r>
          </w:p>
        </w:tc>
      </w:tr>
      <w:tr>
        <w:tc>
          <w:tcPr>
            <w:tcW w:type="dxa" w:w="4320"/>
          </w:tcPr>
          <w:p>
            <w:r>
              <w:t>Actual Owner</w:t>
            </w:r>
          </w:p>
        </w:tc>
        <w:tc>
          <w:tcPr>
            <w:tcW w:type="dxa" w:w="4320"/>
          </w:tcPr>
          <w:p>
            <w:r>
              <w:t>BNL_RSA_During_Support</w:t>
            </w:r>
          </w:p>
        </w:tc>
      </w:tr>
      <w:tr>
        <w:tc>
          <w:tcPr>
            <w:tcW w:type="dxa" w:w="4320"/>
          </w:tcPr>
          <w:p>
            <w:r>
              <w:t>Point of Sale</w:t>
            </w:r>
          </w:p>
        </w:tc>
        <w:tc>
          <w:tcPr>
            <w:tcW w:type="dxa" w:w="4320"/>
          </w:tcPr>
          <w:p>
            <w:r>
              <w:t>Netherlands</w:t>
            </w:r>
          </w:p>
        </w:tc>
      </w:tr>
      <w:tr>
        <w:tc>
          <w:tcPr>
            <w:tcW w:type="dxa" w:w="4320"/>
          </w:tcPr>
          <w:p>
            <w:r>
              <w:t>Omni-Channel</w:t>
            </w:r>
          </w:p>
        </w:tc>
        <w:tc>
          <w:tcPr>
            <w:tcW w:type="dxa" w:w="4320"/>
          </w:tcPr>
          <w:p>
            <w:r>
              <w:t>Yes (Skills-Based)</w:t>
            </w:r>
          </w:p>
        </w:tc>
      </w:tr>
      <w:tr>
        <w:tc>
          <w:tcPr>
            <w:tcW w:type="dxa" w:w="4320"/>
          </w:tcPr>
          <w:p>
            <w:r>
              <w:t>Execution Date</w:t>
            </w:r>
          </w:p>
        </w:tc>
        <w:tc>
          <w:tcPr>
            <w:tcW w:type="dxa" w:w="4320"/>
          </w:tcPr>
          <w:p>
            <w:r>
              <w:t>April 10, 2026</w:t>
            </w:r>
          </w:p>
        </w:tc>
      </w:tr>
    </w:tbl>
    <w:p/>
    <w:p>
      <w:pPr>
        <w:pStyle w:val="Heading2"/>
      </w:pPr>
      <w:r>
        <w:t>Email Composed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0168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i3857_s5_email_compo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68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Email Sent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0168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i3857_s5_email_s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68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Case Record - Owner Verification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01688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i3857_s5_case_own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68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Priority Verification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Case Priority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Expected PSR Priority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Actual PSR Priority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71</w:t>
            </w:r>
          </w:p>
        </w:tc>
        <w:tc>
          <w:tcPr>
            <w:tcW w:type="dxa" w:w="2880"/>
          </w:tcPr>
          <w:p>
            <w:r>
              <w:t>71</w:t>
            </w:r>
          </w:p>
        </w:tc>
      </w:tr>
      <w:tr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>
              <w:t>75</w:t>
            </w:r>
          </w:p>
        </w:tc>
      </w:tr>
      <w:tr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77</w:t>
            </w:r>
          </w:p>
        </w:tc>
        <w:tc>
          <w:tcPr>
            <w:tcW w:type="dxa" w:w="2880"/>
          </w:tcPr>
          <w:p>
            <w:r>
              <w:t>77</w:t>
            </w:r>
          </w:p>
        </w:tc>
      </w:tr>
    </w:tbl>
    <w:p/>
    <w:p>
      <w:pPr>
        <w:pStyle w:val="Heading1"/>
      </w:pPr>
      <w:r>
        <w:t>Summary - Pass/Fail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 Step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Email-to-Case Creation</w:t>
            </w:r>
          </w:p>
        </w:tc>
        <w:tc>
          <w:tcPr>
            <w:tcW w:type="dxa" w:w="2880"/>
          </w:tcPr>
          <w:p>
            <w:r>
              <w:t>Case created for service.qafull@sixt.nl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Owner = BNL_RSA_During_Support</w:t>
            </w:r>
          </w:p>
        </w:tc>
        <w:tc>
          <w:tcPr>
            <w:tcW w:type="dxa" w:w="2880"/>
          </w:tcPr>
          <w:p>
            <w:r>
              <w:t>Case routed to BNL_RSA_During_Support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PSR Priority (High=71)</w:t>
            </w:r>
          </w:p>
        </w:tc>
        <w:tc>
          <w:tcPr>
            <w:tcW w:type="dxa" w:w="2880"/>
          </w:tcPr>
          <w:p>
            <w:r>
              <w:t>Routing priority = 71 for High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PSR Priority (Medium=75)</w:t>
            </w:r>
          </w:p>
        </w:tc>
        <w:tc>
          <w:tcPr>
            <w:tcW w:type="dxa" w:w="2880"/>
          </w:tcPr>
          <w:p>
            <w:r>
              <w:t>Routing priority = 75 for Medium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PSR Priority (Low=77)</w:t>
            </w:r>
          </w:p>
        </w:tc>
        <w:tc>
          <w:tcPr>
            <w:tcW w:type="dxa" w:w="2880"/>
          </w:tcPr>
          <w:p>
            <w:r>
              <w:t>Routing priority = 77 for Low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Priority Update (Medium)</w:t>
            </w:r>
          </w:p>
        </w:tc>
        <w:tc>
          <w:tcPr>
            <w:tcW w:type="dxa" w:w="2880"/>
          </w:tcPr>
          <w:p>
            <w:r>
              <w:t>Case priority set to Medium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Priority Update (Low)</w:t>
            </w:r>
          </w:p>
        </w:tc>
        <w:tc>
          <w:tcPr>
            <w:tcW w:type="dxa" w:w="2880"/>
          </w:tcPr>
          <w:p>
            <w:r>
              <w:t>Case priority set to Low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Priority Update (High)</w:t>
            </w:r>
          </w:p>
        </w:tc>
        <w:tc>
          <w:tcPr>
            <w:tcW w:type="dxa" w:w="2880"/>
          </w:tcPr>
          <w:p>
            <w:r>
              <w:t>Case priority set to High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