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SCI-3857 (Scenario 10) Test Execution Report</w:t>
      </w:r>
    </w:p>
    <w:p>
      <w:pPr>
        <w:pStyle w:val="Heading1"/>
        <w:jc w:val="center"/>
      </w:pPr>
      <w:r>
        <w:t>DACH_RSA_After_Claims - Email-to-Case Routing &amp; Priority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 Number</w:t>
            </w:r>
          </w:p>
        </w:tc>
        <w:tc>
          <w:tcPr>
            <w:tcW w:type="dxa" w:w="4320"/>
          </w:tcPr>
          <w:p>
            <w:r>
              <w:t>15557617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Refund of additional costs caused by breakdown</w:t>
            </w:r>
          </w:p>
        </w:tc>
      </w:tr>
      <w:tr>
        <w:tc>
          <w:tcPr>
            <w:tcW w:type="dxa" w:w="4320"/>
          </w:tcPr>
          <w:p>
            <w:r>
              <w:t>Email To</w:t>
            </w:r>
          </w:p>
        </w:tc>
        <w:tc>
          <w:tcPr>
            <w:tcW w:type="dxa" w:w="4320"/>
          </w:tcPr>
          <w:p>
            <w:r>
              <w:t>service.qafull@sixt.de</w:t>
            </w:r>
          </w:p>
        </w:tc>
      </w:tr>
      <w:tr>
        <w:tc>
          <w:tcPr>
            <w:tcW w:type="dxa" w:w="4320"/>
          </w:tcPr>
          <w:p>
            <w:r>
              <w:t>Expected Owner</w:t>
            </w:r>
          </w:p>
        </w:tc>
        <w:tc>
          <w:tcPr>
            <w:tcW w:type="dxa" w:w="4320"/>
          </w:tcPr>
          <w:p>
            <w:r>
              <w:t>DACH_RSA_After_Claims</w:t>
            </w:r>
          </w:p>
        </w:tc>
      </w:tr>
      <w:tr>
        <w:tc>
          <w:tcPr>
            <w:tcW w:type="dxa" w:w="4320"/>
          </w:tcPr>
          <w:p>
            <w:r>
              <w:t>Actual Owner</w:t>
            </w:r>
          </w:p>
        </w:tc>
        <w:tc>
          <w:tcPr>
            <w:tcW w:type="dxa" w:w="4320"/>
          </w:tcPr>
          <w:p>
            <w:r>
              <w:t>DACH_T1</w:t>
            </w:r>
          </w:p>
        </w:tc>
      </w:tr>
      <w:tr>
        <w:tc>
          <w:tcPr>
            <w:tcW w:type="dxa" w:w="4320"/>
          </w:tcPr>
          <w:p>
            <w:r>
              <w:t>Point of Sale</w:t>
            </w:r>
          </w:p>
        </w:tc>
        <w:tc>
          <w:tcPr>
            <w:tcW w:type="dxa" w:w="4320"/>
          </w:tcPr>
          <w:p>
            <w:r>
              <w:t>Germany</w:t>
            </w:r>
          </w:p>
        </w:tc>
      </w:tr>
      <w:tr>
        <w:tc>
          <w:tcPr>
            <w:tcW w:type="dxa" w:w="4320"/>
          </w:tcPr>
          <w:p>
            <w:r>
              <w:t>Omni-Channel</w:t>
            </w:r>
          </w:p>
        </w:tc>
        <w:tc>
          <w:tcPr>
            <w:tcW w:type="dxa" w:w="4320"/>
          </w:tcPr>
          <w:p>
            <w:r>
              <w:t>Yes (Skills-Based)</w:t>
            </w:r>
          </w:p>
        </w:tc>
      </w:tr>
      <w:tr>
        <w:tc>
          <w:tcPr>
            <w:tcW w:type="dxa" w:w="4320"/>
          </w:tcPr>
          <w:p>
            <w:r>
              <w:t>Execution Date</w:t>
            </w:r>
          </w:p>
        </w:tc>
        <w:tc>
          <w:tcPr>
            <w:tcW w:type="dxa" w:w="4320"/>
          </w:tcPr>
          <w:p>
            <w:r>
              <w:t>April 10, 2026</w:t>
            </w:r>
          </w:p>
        </w:tc>
      </w:tr>
    </w:tbl>
    <w:p/>
    <w:p>
      <w:pPr>
        <w:pStyle w:val="Heading1"/>
      </w:pPr>
      <w:r>
        <w:t>Priority Verification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Case 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PSR 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Actual PSR Priority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p/>
    <w:p>
      <w:pPr>
        <w:pStyle w:val="Heading1"/>
      </w:pPr>
      <w:r>
        <w:t>Summary - Pass/Fail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Email-to-Case Creation</w:t>
            </w:r>
          </w:p>
        </w:tc>
        <w:tc>
          <w:tcPr>
            <w:tcW w:type="dxa" w:w="2880"/>
          </w:tcPr>
          <w:p>
            <w:r>
              <w:t>Case created for service.qafull@sixt.de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Owner = DACH_RSA_After_Claims</w:t>
            </w:r>
          </w:p>
        </w:tc>
        <w:tc>
          <w:tcPr>
            <w:tcW w:type="dxa" w:w="2880"/>
          </w:tcPr>
          <w:p>
            <w:r>
              <w:t>Case routed to DACH_RSA_After_Claims</w:t>
            </w:r>
          </w:p>
        </w:tc>
        <w:tc>
          <w:tcPr>
            <w:tcW w:type="dxa" w:w="2880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Actual Owner</w:t>
            </w:r>
          </w:p>
        </w:tc>
        <w:tc>
          <w:tcPr>
            <w:tcW w:type="dxa" w:w="2880"/>
          </w:tcPr>
          <w:p>
            <w:r>
              <w:t>DACH_T1</w:t>
            </w:r>
          </w:p>
        </w:tc>
        <w:tc>
          <w:tcPr>
            <w:tcW w:type="dxa" w:w="2880"/>
          </w:tcPr>
          <w:p>
            <w:r>
              <w:rPr>
                <w:b/>
                <w:color w:val="FFA500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PSR Priority (High=71)</w:t>
            </w:r>
          </w:p>
        </w:tc>
        <w:tc>
          <w:tcPr>
            <w:tcW w:type="dxa" w:w="2880"/>
          </w:tcPr>
          <w:p>
            <w:r>
              <w:t>Actual: 100</w:t>
            </w:r>
          </w:p>
        </w:tc>
        <w:tc>
          <w:tcPr>
            <w:tcW w:type="dxa" w:w="2880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PSR Priority (Medium=75)</w:t>
            </w:r>
          </w:p>
        </w:tc>
        <w:tc>
          <w:tcPr>
            <w:tcW w:type="dxa" w:w="2880"/>
          </w:tcPr>
          <w:p>
            <w:r>
              <w:t>Actual: 100</w:t>
            </w:r>
          </w:p>
        </w:tc>
        <w:tc>
          <w:tcPr>
            <w:tcW w:type="dxa" w:w="2880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PSR Priority (Low=77)</w:t>
            </w:r>
          </w:p>
        </w:tc>
        <w:tc>
          <w:tcPr>
            <w:tcW w:type="dxa" w:w="2880"/>
          </w:tcPr>
          <w:p>
            <w:r>
              <w:t>Actual: 100</w:t>
            </w:r>
          </w:p>
        </w:tc>
        <w:tc>
          <w:tcPr>
            <w:tcW w:type="dxa" w:w="2880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Priority Update (Medium)</w:t>
            </w:r>
          </w:p>
        </w:tc>
        <w:tc>
          <w:tcPr>
            <w:tcW w:type="dxa" w:w="2880"/>
          </w:tcPr>
          <w:p>
            <w:r>
              <w:t>Case priority set to Medium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Update (Low)</w:t>
            </w:r>
          </w:p>
        </w:tc>
        <w:tc>
          <w:tcPr>
            <w:tcW w:type="dxa" w:w="2880"/>
          </w:tcPr>
          <w:p>
            <w:r>
              <w:t>Case priority set to Low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Update (High)</w:t>
            </w:r>
          </w:p>
        </w:tc>
        <w:tc>
          <w:tcPr>
            <w:tcW w:type="dxa" w:w="2880"/>
          </w:tcPr>
          <w:p>
            <w:r>
              <w:t>Case priority set to High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Key Findings</w:t>
      </w:r>
    </w:p>
    <w:p>
      <w:r>
        <w:t>Expected DACH_RSA_After_Claims but got DACH_T1. The routing for "Refund of additional costs caused by breakdown" to sixt.de routes to DACH_T1 queue. PSR priority stays at 100 regardless of case priority (does not follow 71/75/77 mapping).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