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9) Test Execution Report</w:t>
      </w:r>
    </w:p>
    <w:p>
      <w:pPr>
        <w:pStyle w:val="Heading1"/>
        <w:jc w:val="center"/>
      </w:pPr>
      <w:r>
        <w:t>DACH_RSA_During_Support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service.qafull@sixt.de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DACH_RSA_During_Support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DACH_RSA_During_Support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Germany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Case Record - Owner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9_case_ow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service.qafull@sixt.de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DACH_RSA_During_Support</w:t>
            </w:r>
          </w:p>
        </w:tc>
        <w:tc>
          <w:tcPr>
            <w:tcW w:type="dxa" w:w="2880"/>
          </w:tcPr>
          <w:p>
            <w:r>
              <w:t>Case routed to DACH_RSA_During_Support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Routing priority = 71 for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Routing priority = 75 for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Routing priority = 77 for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