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11) Test Execution Report</w:t>
      </w:r>
    </w:p>
    <w:p>
      <w:pPr>
        <w:pStyle w:val="Heading1"/>
        <w:jc w:val="center"/>
      </w:pPr>
      <w:r>
        <w:t>DACH_RSA_InternalComms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15557618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Refund of additional costs caused by breakdown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service.qafull@sixt.de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DACH_RSA_After_Claims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DACH_RSA_InternalComms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Germany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service.qafull@sixt.de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DACH_RSA_After_Claims</w:t>
            </w:r>
          </w:p>
        </w:tc>
        <w:tc>
          <w:tcPr>
            <w:tcW w:type="dxa" w:w="2880"/>
          </w:tcPr>
          <w:p>
            <w:r>
              <w:t>Case routed to DACH_RSA_After_Claims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Actual Owner</w:t>
            </w:r>
          </w:p>
        </w:tc>
        <w:tc>
          <w:tcPr>
            <w:tcW w:type="dxa" w:w="2880"/>
          </w:tcPr>
          <w:p>
            <w:r>
              <w:t>DACH_RSA_InternalComms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Owner Changed to DACH_RSA_InternalComms</w:t>
            </w:r>
          </w:p>
        </w:tc>
        <w:tc>
          <w:tcPr>
            <w:tcW w:type="dxa" w:w="2880"/>
          </w:tcPr>
          <w:p>
            <w:r>
              <w:t>Owner updated to DACH_RSA_InternalComms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Initial owner DACH_T1 (expected DACH_RSA_After_Claims). Owner changed to DACH_RSA_InternalComms via SFDX. PSR priority stays at 100 regardless of case priority (does not follow 71/75/77 mapping).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