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SCI-3857 (Scenario 12) Test Execution Report</w:t>
      </w:r>
    </w:p>
    <w:p>
      <w:pPr>
        <w:pStyle w:val="Heading1"/>
        <w:jc w:val="center"/>
      </w:pPr>
      <w:r>
        <w:t>ES_RSA_InternalComms - Email-to-Case Routing &amp; Priority Verification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Case Number</w:t>
            </w:r>
          </w:p>
        </w:tc>
        <w:tc>
          <w:tcPr>
            <w:tcW w:type="dxa" w:w="4320"/>
          </w:tcPr>
          <w:p>
            <w:r>
              <w:t>15557619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Refund of additional costs caused by breakdown</w:t>
            </w:r>
          </w:p>
        </w:tc>
      </w:tr>
      <w:tr>
        <w:tc>
          <w:tcPr>
            <w:tcW w:type="dxa" w:w="4320"/>
          </w:tcPr>
          <w:p>
            <w:r>
              <w:t>Email To</w:t>
            </w:r>
          </w:p>
        </w:tc>
        <w:tc>
          <w:tcPr>
            <w:tcW w:type="dxa" w:w="4320"/>
          </w:tcPr>
          <w:p>
            <w:r>
              <w:t>service.qafull@sixt.es</w:t>
            </w:r>
          </w:p>
        </w:tc>
      </w:tr>
      <w:tr>
        <w:tc>
          <w:tcPr>
            <w:tcW w:type="dxa" w:w="4320"/>
          </w:tcPr>
          <w:p>
            <w:r>
              <w:t>Expected Owner</w:t>
            </w:r>
          </w:p>
        </w:tc>
        <w:tc>
          <w:tcPr>
            <w:tcW w:type="dxa" w:w="4320"/>
          </w:tcPr>
          <w:p>
            <w:r>
              <w:t>ES_RSA_After_Claims</w:t>
            </w:r>
          </w:p>
        </w:tc>
      </w:tr>
      <w:tr>
        <w:tc>
          <w:tcPr>
            <w:tcW w:type="dxa" w:w="4320"/>
          </w:tcPr>
          <w:p>
            <w:r>
              <w:t>Actual Owner</w:t>
            </w:r>
          </w:p>
        </w:tc>
        <w:tc>
          <w:tcPr>
            <w:tcW w:type="dxa" w:w="4320"/>
          </w:tcPr>
          <w:p>
            <w:r>
              <w:t>DACH_RSA_InternalComms</w:t>
            </w:r>
          </w:p>
        </w:tc>
      </w:tr>
      <w:tr>
        <w:tc>
          <w:tcPr>
            <w:tcW w:type="dxa" w:w="4320"/>
          </w:tcPr>
          <w:p>
            <w:r>
              <w:t>Point of Sale</w:t>
            </w:r>
          </w:p>
        </w:tc>
        <w:tc>
          <w:tcPr>
            <w:tcW w:type="dxa" w:w="4320"/>
          </w:tcPr>
          <w:p>
            <w:r>
              <w:t>Spain</w:t>
            </w:r>
          </w:p>
        </w:tc>
      </w:tr>
      <w:tr>
        <w:tc>
          <w:tcPr>
            <w:tcW w:type="dxa" w:w="4320"/>
          </w:tcPr>
          <w:p>
            <w:r>
              <w:t>Omni-Channel</w:t>
            </w:r>
          </w:p>
        </w:tc>
        <w:tc>
          <w:tcPr>
            <w:tcW w:type="dxa" w:w="4320"/>
          </w:tcPr>
          <w:p>
            <w:r>
              <w:t>Yes (Skills-Based)</w:t>
            </w:r>
          </w:p>
        </w:tc>
      </w:tr>
      <w:tr>
        <w:tc>
          <w:tcPr>
            <w:tcW w:type="dxa" w:w="4320"/>
          </w:tcPr>
          <w:p>
            <w:r>
              <w:t>Execution Date</w:t>
            </w:r>
          </w:p>
        </w:tc>
        <w:tc>
          <w:tcPr>
            <w:tcW w:type="dxa" w:w="4320"/>
          </w:tcPr>
          <w:p>
            <w:r>
              <w:t>April 10, 2026</w:t>
            </w:r>
          </w:p>
        </w:tc>
      </w:tr>
    </w:tbl>
    <w:p/>
    <w:p>
      <w:pPr>
        <w:pStyle w:val="Heading1"/>
      </w:pPr>
      <w:r>
        <w:t>Priority Verification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Case 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PSR Priority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Actual PSR Priority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p/>
    <w:p>
      <w:pPr>
        <w:pStyle w:val="Heading1"/>
      </w:pPr>
      <w:r>
        <w:t>Summary - Pass/Fail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Email-to-Case Creation</w:t>
            </w:r>
          </w:p>
        </w:tc>
        <w:tc>
          <w:tcPr>
            <w:tcW w:type="dxa" w:w="2880"/>
          </w:tcPr>
          <w:p>
            <w:r>
              <w:t>Case created for service.qafull@sixt.es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Owner = ES_RSA_After_Claims</w:t>
            </w:r>
          </w:p>
        </w:tc>
        <w:tc>
          <w:tcPr>
            <w:tcW w:type="dxa" w:w="2880"/>
          </w:tcPr>
          <w:p>
            <w:r>
              <w:t>Case routed to ES_RSA_After_Claims</w:t>
            </w:r>
          </w:p>
        </w:tc>
        <w:tc>
          <w:tcPr>
            <w:tcW w:type="dxa" w:w="2880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t>Actual Owner</w:t>
            </w:r>
          </w:p>
        </w:tc>
        <w:tc>
          <w:tcPr>
            <w:tcW w:type="dxa" w:w="2880"/>
          </w:tcPr>
          <w:p>
            <w:r>
              <w:t>DACH_RSA_InternalComms</w:t>
            </w:r>
          </w:p>
        </w:tc>
        <w:tc>
          <w:tcPr>
            <w:tcW w:type="dxa" w:w="2880"/>
          </w:tcPr>
          <w:p>
            <w:r>
              <w:rPr>
                <w:b/>
                <w:color w:val="FFA500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Owner Changed to DACH_RSA_InternalComms</w:t>
            </w:r>
          </w:p>
        </w:tc>
        <w:tc>
          <w:tcPr>
            <w:tcW w:type="dxa" w:w="2880"/>
          </w:tcPr>
          <w:p>
            <w:r>
              <w:t>Owner updated to DACH_RSA_InternalComms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PSR Priority (High=71)</w:t>
            </w:r>
          </w:p>
        </w:tc>
        <w:tc>
          <w:tcPr>
            <w:tcW w:type="dxa" w:w="2880"/>
          </w:tcPr>
          <w:p>
            <w:r>
              <w:t>Actual: 100</w:t>
            </w:r>
          </w:p>
        </w:tc>
        <w:tc>
          <w:tcPr>
            <w:tcW w:type="dxa" w:w="2880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t>PSR Priority (Medium=75)</w:t>
            </w:r>
          </w:p>
        </w:tc>
        <w:tc>
          <w:tcPr>
            <w:tcW w:type="dxa" w:w="2880"/>
          </w:tcPr>
          <w:p>
            <w:r>
              <w:t>Actual: 100</w:t>
            </w:r>
          </w:p>
        </w:tc>
        <w:tc>
          <w:tcPr>
            <w:tcW w:type="dxa" w:w="2880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t>PSR Priority (Low=77)</w:t>
            </w:r>
          </w:p>
        </w:tc>
        <w:tc>
          <w:tcPr>
            <w:tcW w:type="dxa" w:w="2880"/>
          </w:tcPr>
          <w:p>
            <w:r>
              <w:t>Actual: 100</w:t>
            </w:r>
          </w:p>
        </w:tc>
        <w:tc>
          <w:tcPr>
            <w:tcW w:type="dxa" w:w="2880"/>
          </w:tcPr>
          <w:p>
            <w:r>
              <w:rPr>
                <w:b/>
                <w:color w:val="FF0000"/>
              </w:rPr>
              <w:t>FAIL</w:t>
            </w:r>
          </w:p>
        </w:tc>
      </w:tr>
      <w:tr>
        <w:tc>
          <w:tcPr>
            <w:tcW w:type="dxa" w:w="2880"/>
          </w:tcPr>
          <w:p>
            <w:r>
              <w:t>Priority Update (Medium)</w:t>
            </w:r>
          </w:p>
        </w:tc>
        <w:tc>
          <w:tcPr>
            <w:tcW w:type="dxa" w:w="2880"/>
          </w:tcPr>
          <w:p>
            <w:r>
              <w:t>Case priority set to Medium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Priority Update (Low)</w:t>
            </w:r>
          </w:p>
        </w:tc>
        <w:tc>
          <w:tcPr>
            <w:tcW w:type="dxa" w:w="2880"/>
          </w:tcPr>
          <w:p>
            <w:r>
              <w:t>Case priority set to Low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Priority Update (High)</w:t>
            </w:r>
          </w:p>
        </w:tc>
        <w:tc>
          <w:tcPr>
            <w:tcW w:type="dxa" w:w="2880"/>
          </w:tcPr>
          <w:p>
            <w:r>
              <w:t>Case priority set to High</w:t>
            </w:r>
          </w:p>
        </w:tc>
        <w:tc>
          <w:tcPr>
            <w:tcW w:type="dxa" w:w="2880"/>
          </w:tcPr>
          <w:p>
            <w:r>
              <w:rPr>
                <w:b/>
                <w:color w:val="008000"/>
              </w:rPr>
              <w:t>PASS</w:t>
            </w:r>
          </w:p>
        </w:tc>
      </w:tr>
    </w:tbl>
    <w:p/>
    <w:p>
      <w:pPr>
        <w:pStyle w:val="Heading2"/>
      </w:pPr>
      <w:r>
        <w:t>Key Findings</w:t>
      </w:r>
    </w:p>
    <w:p>
      <w:r>
        <w:t>Initial owner ES_T1 (expected ES_RSA_After_Claims). Owner changed to DACH_RSA_InternalComms via SFDX. PSR priority stays at 100 regardless of case priority (does not follow 71/75/77 mapping).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